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6A" w:rsidRDefault="00CF4E6A" w:rsidP="00CF4E6A">
      <w:pPr>
        <w:contextualSpacing/>
        <w:jc w:val="both"/>
        <w:rPr>
          <w:color w:val="000000"/>
        </w:rPr>
      </w:pPr>
    </w:p>
    <w:p w:rsidR="003D3A55" w:rsidRDefault="003D3A55" w:rsidP="003D3A5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D3A55" w:rsidRDefault="003D3A55" w:rsidP="003D3A55">
      <w:pPr>
        <w:rPr>
          <w:b/>
        </w:rPr>
      </w:pPr>
      <w:r>
        <w:rPr>
          <w:b/>
        </w:rPr>
        <w:t xml:space="preserve">                                                    РОСС</w:t>
      </w:r>
      <w:r w:rsidR="001C5859">
        <w:rPr>
          <w:b/>
        </w:rPr>
        <w:t xml:space="preserve">ИЙСКАЯ ФЕДЕРАЦИЯ          </w:t>
      </w:r>
    </w:p>
    <w:p w:rsidR="003D3A55" w:rsidRDefault="003D3A55" w:rsidP="003D3A55">
      <w:pPr>
        <w:pStyle w:val="af2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3D3A55" w:rsidRDefault="003D3A55" w:rsidP="003D3A55">
      <w:pPr>
        <w:pStyle w:val="af2"/>
        <w:jc w:val="center"/>
        <w:rPr>
          <w:b/>
          <w:szCs w:val="24"/>
        </w:rPr>
      </w:pPr>
      <w:r>
        <w:rPr>
          <w:b/>
          <w:szCs w:val="24"/>
        </w:rPr>
        <w:t>ПРИТОБОЛЬНЫЙ РАЙОН</w:t>
      </w:r>
    </w:p>
    <w:p w:rsidR="003D3A55" w:rsidRDefault="003D3A55" w:rsidP="003D3A55">
      <w:pPr>
        <w:pStyle w:val="af2"/>
        <w:jc w:val="center"/>
        <w:rPr>
          <w:b/>
          <w:szCs w:val="24"/>
        </w:rPr>
      </w:pPr>
      <w:r>
        <w:rPr>
          <w:b/>
          <w:szCs w:val="24"/>
        </w:rPr>
        <w:t>ДАВЫДОВСКИЙ СЕЛЬСОВЕТ</w:t>
      </w:r>
      <w:r>
        <w:rPr>
          <w:b/>
          <w:szCs w:val="24"/>
        </w:rPr>
        <w:br/>
        <w:t>АДМИНИСТРАЦИЯ ДАВЫДОВСКОГО СЕЛЬСОВЕТА</w:t>
      </w:r>
    </w:p>
    <w:p w:rsidR="003D3A55" w:rsidRDefault="003D3A55" w:rsidP="003D3A55">
      <w:pPr>
        <w:pStyle w:val="af2"/>
        <w:jc w:val="center"/>
        <w:rPr>
          <w:b/>
          <w:szCs w:val="24"/>
        </w:rPr>
      </w:pPr>
    </w:p>
    <w:p w:rsidR="003D3A55" w:rsidRDefault="003D3A55" w:rsidP="003D3A55">
      <w:pPr>
        <w:pStyle w:val="af2"/>
        <w:jc w:val="center"/>
        <w:rPr>
          <w:b/>
          <w:bCs/>
          <w:szCs w:val="24"/>
        </w:rPr>
      </w:pPr>
    </w:p>
    <w:p w:rsidR="003D3A55" w:rsidRDefault="003D3A55" w:rsidP="003D3A55">
      <w:pPr>
        <w:pStyle w:val="af2"/>
        <w:jc w:val="center"/>
        <w:rPr>
          <w:b/>
          <w:bCs/>
          <w:szCs w:val="24"/>
        </w:rPr>
      </w:pPr>
    </w:p>
    <w:p w:rsidR="003D3A55" w:rsidRDefault="003D3A55" w:rsidP="003D3A55">
      <w:pPr>
        <w:jc w:val="both"/>
        <w:rPr>
          <w:b/>
          <w:spacing w:val="20"/>
        </w:rPr>
      </w:pPr>
      <w:r>
        <w:rPr>
          <w:b/>
          <w:spacing w:val="20"/>
        </w:rPr>
        <w:t xml:space="preserve">                                          ПОСТАНОВЛЕНИЕ</w:t>
      </w:r>
    </w:p>
    <w:p w:rsidR="003D3A55" w:rsidRDefault="003D3A55" w:rsidP="003D3A55">
      <w:pPr>
        <w:pStyle w:val="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D3A55" w:rsidRPr="003D3A55" w:rsidRDefault="001C5859" w:rsidP="003D3A55">
      <w:pPr>
        <w:pStyle w:val="2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13.08.</w:t>
      </w:r>
      <w:r w:rsidR="003D3A55" w:rsidRPr="003D3A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2021 г.                                            </w:t>
      </w:r>
      <w:r w:rsidR="003D3A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="003D3A55" w:rsidRPr="003D3A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15</w:t>
      </w:r>
    </w:p>
    <w:p w:rsidR="003D3A55" w:rsidRPr="003D3A55" w:rsidRDefault="003D3A55" w:rsidP="003D3A55">
      <w:pPr>
        <w:jc w:val="both"/>
        <w:rPr>
          <w:color w:val="000000" w:themeColor="text1"/>
        </w:rPr>
      </w:pPr>
      <w:proofErr w:type="gramStart"/>
      <w:r w:rsidRPr="003D3A55">
        <w:rPr>
          <w:color w:val="000000" w:themeColor="text1"/>
        </w:rPr>
        <w:t>с</w:t>
      </w:r>
      <w:proofErr w:type="gramEnd"/>
      <w:r w:rsidRPr="003D3A55">
        <w:rPr>
          <w:color w:val="000000" w:themeColor="text1"/>
        </w:rPr>
        <w:t>. Давыдовка</w:t>
      </w:r>
    </w:p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5E3798" w:rsidRPr="003D3A55" w:rsidRDefault="005E3798" w:rsidP="00334DBE">
      <w:pPr>
        <w:contextualSpacing/>
        <w:jc w:val="both"/>
        <w:rPr>
          <w:b/>
          <w:szCs w:val="23"/>
          <w:shd w:val="clear" w:color="auto" w:fill="FFFFFF"/>
        </w:rPr>
      </w:pPr>
      <w:r w:rsidRPr="003D3A55">
        <w:rPr>
          <w:b/>
          <w:szCs w:val="23"/>
          <w:shd w:val="clear" w:color="auto" w:fill="FFFFFF"/>
        </w:rPr>
        <w:t xml:space="preserve">Об утверждении размера вреда, </w:t>
      </w:r>
    </w:p>
    <w:p w:rsidR="00334DBE" w:rsidRPr="003D3A55" w:rsidRDefault="005E3798" w:rsidP="00334DBE">
      <w:pPr>
        <w:contextualSpacing/>
        <w:jc w:val="both"/>
        <w:rPr>
          <w:b/>
          <w:szCs w:val="23"/>
          <w:shd w:val="clear" w:color="auto" w:fill="FFFFFF"/>
        </w:rPr>
      </w:pPr>
      <w:r w:rsidRPr="003D3A55">
        <w:rPr>
          <w:b/>
          <w:szCs w:val="23"/>
          <w:shd w:val="clear" w:color="auto" w:fill="FFFFFF"/>
        </w:rPr>
        <w:t xml:space="preserve">причиняемого </w:t>
      </w:r>
      <w:r w:rsidR="00334DBE" w:rsidRPr="003D3A55">
        <w:rPr>
          <w:b/>
          <w:szCs w:val="23"/>
          <w:shd w:val="clear" w:color="auto" w:fill="FFFFFF"/>
        </w:rPr>
        <w:t xml:space="preserve">тяжеловесными </w:t>
      </w:r>
      <w:r w:rsidRPr="003D3A55">
        <w:rPr>
          <w:b/>
          <w:szCs w:val="23"/>
          <w:shd w:val="clear" w:color="auto" w:fill="FFFFFF"/>
        </w:rPr>
        <w:t>транспортным</w:t>
      </w:r>
      <w:r w:rsidR="00334DBE" w:rsidRPr="003D3A55">
        <w:rPr>
          <w:b/>
          <w:szCs w:val="23"/>
          <w:shd w:val="clear" w:color="auto" w:fill="FFFFFF"/>
        </w:rPr>
        <w:t>и</w:t>
      </w:r>
    </w:p>
    <w:p w:rsidR="00334DBE" w:rsidRPr="003D3A55" w:rsidRDefault="00334DBE" w:rsidP="00334DBE">
      <w:pPr>
        <w:contextualSpacing/>
        <w:jc w:val="both"/>
        <w:rPr>
          <w:b/>
          <w:szCs w:val="23"/>
          <w:shd w:val="clear" w:color="auto" w:fill="FFFFFF"/>
        </w:rPr>
      </w:pPr>
      <w:r w:rsidRPr="003D3A55">
        <w:rPr>
          <w:b/>
          <w:szCs w:val="23"/>
          <w:shd w:val="clear" w:color="auto" w:fill="FFFFFF"/>
        </w:rPr>
        <w:t>средствами</w:t>
      </w:r>
      <w:r w:rsidR="005E3798" w:rsidRPr="003D3A55">
        <w:rPr>
          <w:b/>
          <w:szCs w:val="23"/>
          <w:shd w:val="clear" w:color="auto" w:fill="FFFFFF"/>
        </w:rPr>
        <w:t xml:space="preserve">, </w:t>
      </w:r>
      <w:r w:rsidRPr="003D3A55">
        <w:rPr>
          <w:b/>
          <w:szCs w:val="23"/>
          <w:shd w:val="clear" w:color="auto" w:fill="FFFFFF"/>
        </w:rPr>
        <w:t>при движении</w:t>
      </w:r>
      <w:r w:rsidR="005E3798" w:rsidRPr="003D3A55">
        <w:rPr>
          <w:b/>
          <w:szCs w:val="23"/>
          <w:shd w:val="clear" w:color="auto" w:fill="FFFFFF"/>
        </w:rPr>
        <w:t xml:space="preserve"> по </w:t>
      </w:r>
      <w:proofErr w:type="gramStart"/>
      <w:r w:rsidR="005E3798" w:rsidRPr="003D3A55">
        <w:rPr>
          <w:b/>
          <w:szCs w:val="23"/>
          <w:shd w:val="clear" w:color="auto" w:fill="FFFFFF"/>
        </w:rPr>
        <w:t>автомобильным</w:t>
      </w:r>
      <w:proofErr w:type="gramEnd"/>
      <w:r w:rsidR="005E3798" w:rsidRPr="003D3A55">
        <w:rPr>
          <w:b/>
          <w:szCs w:val="23"/>
          <w:shd w:val="clear" w:color="auto" w:fill="FFFFFF"/>
        </w:rPr>
        <w:t xml:space="preserve"> </w:t>
      </w:r>
    </w:p>
    <w:p w:rsidR="007F3B03" w:rsidRPr="003D3A55" w:rsidRDefault="005E3798" w:rsidP="00334DBE">
      <w:pPr>
        <w:contextualSpacing/>
        <w:jc w:val="both"/>
        <w:rPr>
          <w:b/>
          <w:szCs w:val="23"/>
          <w:shd w:val="clear" w:color="auto" w:fill="FFFFFF"/>
        </w:rPr>
      </w:pPr>
      <w:r w:rsidRPr="003D3A55">
        <w:rPr>
          <w:b/>
          <w:szCs w:val="23"/>
          <w:shd w:val="clear" w:color="auto" w:fill="FFFFFF"/>
        </w:rPr>
        <w:t xml:space="preserve">дорогам </w:t>
      </w:r>
      <w:r w:rsidR="003D3A55" w:rsidRPr="003D3A55">
        <w:rPr>
          <w:b/>
          <w:szCs w:val="23"/>
          <w:shd w:val="clear" w:color="auto" w:fill="FFFFFF"/>
        </w:rPr>
        <w:t xml:space="preserve">общего пользования </w:t>
      </w:r>
      <w:r w:rsidRPr="003D3A55">
        <w:rPr>
          <w:b/>
          <w:szCs w:val="23"/>
          <w:shd w:val="clear" w:color="auto" w:fill="FFFFFF"/>
        </w:rPr>
        <w:t>местного значения</w:t>
      </w:r>
    </w:p>
    <w:p w:rsidR="003D3A55" w:rsidRPr="003D3A55" w:rsidRDefault="003D3A55" w:rsidP="00334DBE">
      <w:pPr>
        <w:contextualSpacing/>
        <w:jc w:val="both"/>
        <w:rPr>
          <w:b/>
          <w:szCs w:val="23"/>
          <w:shd w:val="clear" w:color="auto" w:fill="FFFFFF"/>
        </w:rPr>
      </w:pPr>
      <w:r w:rsidRPr="003D3A55">
        <w:rPr>
          <w:b/>
          <w:szCs w:val="23"/>
          <w:shd w:val="clear" w:color="auto" w:fill="FFFFFF"/>
        </w:rPr>
        <w:t>Давыдовского сельсовета Притобольного района</w:t>
      </w:r>
    </w:p>
    <w:p w:rsidR="003D3A55" w:rsidRPr="003D3A55" w:rsidRDefault="003D3A55" w:rsidP="00334DBE">
      <w:pPr>
        <w:contextualSpacing/>
        <w:jc w:val="both"/>
        <w:rPr>
          <w:b/>
          <w:szCs w:val="23"/>
          <w:shd w:val="clear" w:color="auto" w:fill="FFFFFF"/>
        </w:rPr>
      </w:pPr>
      <w:r w:rsidRPr="003D3A55">
        <w:rPr>
          <w:b/>
          <w:szCs w:val="23"/>
          <w:shd w:val="clear" w:color="auto" w:fill="FFFFFF"/>
        </w:rPr>
        <w:t>Курганской области</w:t>
      </w:r>
    </w:p>
    <w:p w:rsidR="00F95BC5" w:rsidRDefault="00F95BC5" w:rsidP="00334DBE">
      <w:pPr>
        <w:contextualSpacing/>
        <w:jc w:val="both"/>
        <w:rPr>
          <w:szCs w:val="23"/>
          <w:shd w:val="clear" w:color="auto" w:fill="FFFFFF"/>
        </w:rPr>
      </w:pPr>
    </w:p>
    <w:p w:rsidR="007D36E7" w:rsidRPr="00AE502B" w:rsidRDefault="007D36E7" w:rsidP="00CF4E6A">
      <w:pPr>
        <w:contextualSpacing/>
        <w:jc w:val="both"/>
        <w:rPr>
          <w:color w:val="FF0000"/>
        </w:rPr>
      </w:pPr>
    </w:p>
    <w:p w:rsidR="002C23D8" w:rsidRDefault="002C23D8" w:rsidP="002C23D8">
      <w:pPr>
        <w:ind w:firstLine="709"/>
        <w:jc w:val="both"/>
      </w:pPr>
      <w:r>
        <w:t xml:space="preserve">В соответствии с пунктом 7 части 1 статьи 13, пунктом 3 части 13 статьи 31 </w:t>
      </w:r>
      <w:proofErr w:type="gramStart"/>
      <w:r>
        <w:t>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1, частью 3 статьи 14 Федерального закона от 06.10.2003 г. № 131-ФЗ «Об общих принципах организации местного самоуправления в Российской Федерации», пунктом 2 статьи 1 Закона Курганской области от 25.12.2014 г. № 108</w:t>
      </w:r>
      <w:proofErr w:type="gramEnd"/>
      <w:r>
        <w:t xml:space="preserve"> «О закреплении за сельскими поселениями Курганской области вопросов местного значения городских поселений», руководствуясь постановлением Правительства Российской Федерации от 31.01.2020 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Администрация Давыдовского сельсовета</w:t>
      </w:r>
    </w:p>
    <w:p w:rsidR="002C23D8" w:rsidRPr="002C23D8" w:rsidRDefault="002C23D8" w:rsidP="002C23D8">
      <w:pPr>
        <w:jc w:val="both"/>
        <w:rPr>
          <w:b/>
        </w:rPr>
      </w:pPr>
      <w:r w:rsidRPr="002C23D8">
        <w:rPr>
          <w:b/>
        </w:rPr>
        <w:t>ПОСТАНОВЛЯЕТ:</w:t>
      </w:r>
    </w:p>
    <w:p w:rsidR="002C23D8" w:rsidRDefault="002C23D8" w:rsidP="002C23D8">
      <w:pPr>
        <w:ind w:firstLine="709"/>
        <w:jc w:val="both"/>
      </w:pPr>
      <w:r>
        <w:t>1</w:t>
      </w:r>
      <w:r w:rsidRPr="00CC383B">
        <w:t>.</w:t>
      </w:r>
      <w:r>
        <w:t xml:space="preserve"> Определить </w:t>
      </w:r>
      <w:r w:rsidRPr="00CC383B">
        <w:t xml:space="preserve">размер вреда, причиняемого тяжеловесными транспортными средствами при движении по автомобильным дорогам </w:t>
      </w:r>
      <w:r>
        <w:t xml:space="preserve">общего пользования </w:t>
      </w:r>
      <w:r w:rsidRPr="00CC383B">
        <w:t>местного значения</w:t>
      </w:r>
      <w:r>
        <w:t xml:space="preserve"> Давыдовского сельсовета Притобольного района Курганской области</w:t>
      </w:r>
      <w:r w:rsidRPr="00CC383B">
        <w:t>, согласно прило</w:t>
      </w:r>
      <w:r>
        <w:t>жению 1</w:t>
      </w:r>
      <w:r w:rsidRPr="00CC383B">
        <w:t>.</w:t>
      </w:r>
    </w:p>
    <w:p w:rsidR="002545AD" w:rsidRPr="00CC383B" w:rsidRDefault="002C23D8" w:rsidP="002545AD">
      <w:pPr>
        <w:ind w:firstLine="709"/>
        <w:jc w:val="both"/>
      </w:pPr>
      <w:r>
        <w:t>2</w:t>
      </w:r>
      <w:r w:rsidR="00473577" w:rsidRPr="00CC383B">
        <w:t>.</w:t>
      </w:r>
      <w:r w:rsidR="003D3A55">
        <w:t xml:space="preserve"> </w:t>
      </w:r>
      <w:r w:rsidR="00AE29AA">
        <w:t xml:space="preserve">Определить </w:t>
      </w:r>
      <w:r w:rsidR="0097481C" w:rsidRPr="00CC383B">
        <w:t>размера вреда</w:t>
      </w:r>
      <w:r w:rsidR="00473577" w:rsidRPr="00CC383B">
        <w:t xml:space="preserve"> при превышении </w:t>
      </w:r>
      <w:r w:rsidR="00A05915" w:rsidRPr="00CC383B">
        <w:t xml:space="preserve">допустимых </w:t>
      </w:r>
      <w:r w:rsidR="00473577" w:rsidRPr="00CC383B">
        <w:t>нагрузок</w:t>
      </w:r>
      <w:r w:rsidR="002545AD" w:rsidRPr="00CC383B">
        <w:t xml:space="preserve"> на ось транспортного средства и постоянные</w:t>
      </w:r>
      <w:r w:rsidR="00473577" w:rsidRPr="00CC383B">
        <w:t xml:space="preserve"> коэ</w:t>
      </w:r>
      <w:r w:rsidR="0097481C" w:rsidRPr="00CC383B">
        <w:t xml:space="preserve">ффициенты, </w:t>
      </w:r>
      <w:r w:rsidR="002545AD" w:rsidRPr="00CC383B">
        <w:t xml:space="preserve">используемые при расчете размера вреда, причиняемого тяжеловесными транспортными средствами при движении таких транспортных средств по автомобильным дорогам </w:t>
      </w:r>
      <w:r w:rsidR="00AE29AA">
        <w:t xml:space="preserve">общего пользования </w:t>
      </w:r>
      <w:r w:rsidR="002545AD" w:rsidRPr="00CC383B">
        <w:t>местного значения</w:t>
      </w:r>
      <w:r w:rsidR="00AE29AA">
        <w:t xml:space="preserve"> Давыдовского сельсовета Притобольного района Курганско</w:t>
      </w:r>
      <w:r>
        <w:t>й области, согласно приложению 2</w:t>
      </w:r>
      <w:r w:rsidR="00AE29AA">
        <w:t xml:space="preserve"> к настоящему постановлению.</w:t>
      </w:r>
    </w:p>
    <w:p w:rsidR="00C71617" w:rsidRPr="00CC383B" w:rsidRDefault="00473577" w:rsidP="00496AC5">
      <w:pPr>
        <w:ind w:firstLine="709"/>
        <w:jc w:val="both"/>
        <w:rPr>
          <w:szCs w:val="23"/>
          <w:shd w:val="clear" w:color="auto" w:fill="FFFFFF"/>
        </w:rPr>
      </w:pPr>
      <w:r w:rsidRPr="00CC383B">
        <w:rPr>
          <w:szCs w:val="23"/>
          <w:shd w:val="clear" w:color="auto" w:fill="FFFFFF"/>
        </w:rPr>
        <w:t>3</w:t>
      </w:r>
      <w:r w:rsidR="0060467A" w:rsidRPr="00CC383B">
        <w:rPr>
          <w:szCs w:val="23"/>
          <w:shd w:val="clear" w:color="auto" w:fill="FFFFFF"/>
        </w:rPr>
        <w:t>.</w:t>
      </w:r>
      <w:r w:rsidR="003D3A55" w:rsidRPr="003D3A55">
        <w:rPr>
          <w:color w:val="000000"/>
        </w:rPr>
        <w:t xml:space="preserve"> </w:t>
      </w:r>
      <w:r w:rsidR="003D3A55">
        <w:rPr>
          <w:color w:val="000000"/>
        </w:rPr>
        <w:t xml:space="preserve">Настоящее постановление обнародовать </w:t>
      </w:r>
      <w:proofErr w:type="gramStart"/>
      <w:r w:rsidR="003D3A55">
        <w:t>в</w:t>
      </w:r>
      <w:proofErr w:type="gramEnd"/>
      <w:r w:rsidR="003D3A55">
        <w:t xml:space="preserve"> </w:t>
      </w:r>
      <w:proofErr w:type="gramStart"/>
      <w:r w:rsidR="003D3A55">
        <w:t>с</w:t>
      </w:r>
      <w:proofErr w:type="gramEnd"/>
      <w:r w:rsidR="003D3A55">
        <w:t xml:space="preserve">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 w:rsidR="003D3A55">
        <w:t>Комановка</w:t>
      </w:r>
      <w:proofErr w:type="spellEnd"/>
      <w:r w:rsidR="003D3A55">
        <w:t xml:space="preserve"> на доске объявлений; в д. Туманова в помещении библиотеки; в д. Покровка на доске объявлений.</w:t>
      </w:r>
    </w:p>
    <w:p w:rsidR="00D64387" w:rsidRPr="00D64387" w:rsidRDefault="007F3B03" w:rsidP="002E37B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bookmarkStart w:id="0" w:name="sub_4"/>
      <w:r w:rsidRPr="00CC383B">
        <w:rPr>
          <w:szCs w:val="27"/>
        </w:rPr>
        <w:t>4</w:t>
      </w:r>
      <w:r w:rsidR="0060467A" w:rsidRPr="00CC383B">
        <w:rPr>
          <w:szCs w:val="27"/>
        </w:rPr>
        <w:t>.</w:t>
      </w:r>
      <w:proofErr w:type="gramStart"/>
      <w:r w:rsidR="001263B8" w:rsidRPr="001263B8">
        <w:rPr>
          <w:szCs w:val="27"/>
        </w:rPr>
        <w:t>Контроль за</w:t>
      </w:r>
      <w:proofErr w:type="gramEnd"/>
      <w:r w:rsidR="001263B8" w:rsidRPr="001263B8">
        <w:rPr>
          <w:szCs w:val="27"/>
        </w:rPr>
        <w:t xml:space="preserve"> выполнением постановления</w:t>
      </w:r>
      <w:bookmarkStart w:id="1" w:name="_GoBack"/>
      <w:bookmarkEnd w:id="1"/>
      <w:r w:rsidR="001263B8" w:rsidRPr="001263B8">
        <w:rPr>
          <w:szCs w:val="27"/>
        </w:rPr>
        <w:t xml:space="preserve"> </w:t>
      </w:r>
      <w:r w:rsidR="003D3A55">
        <w:rPr>
          <w:szCs w:val="27"/>
        </w:rPr>
        <w:t>оставляю за собой.</w:t>
      </w:r>
    </w:p>
    <w:p w:rsidR="00D64387" w:rsidRPr="00CF4E6A" w:rsidRDefault="00D64387" w:rsidP="002E37BE">
      <w:pPr>
        <w:ind w:firstLine="709"/>
        <w:contextualSpacing/>
        <w:jc w:val="both"/>
        <w:rPr>
          <w:color w:val="FF0000"/>
        </w:rPr>
      </w:pPr>
    </w:p>
    <w:p w:rsidR="004D70FC" w:rsidRPr="00CF4E6A" w:rsidRDefault="004D70FC" w:rsidP="00CF4E6A">
      <w:pPr>
        <w:contextualSpacing/>
        <w:jc w:val="both"/>
        <w:rPr>
          <w:color w:val="FF0000"/>
        </w:rPr>
      </w:pPr>
    </w:p>
    <w:p w:rsidR="003F06B7" w:rsidRDefault="003D3A55" w:rsidP="0048297D">
      <w:pPr>
        <w:contextualSpacing/>
        <w:jc w:val="both"/>
      </w:pPr>
      <w:r>
        <w:t>Глава Давыдовского сельсовета                                                                                     В.И. Иванов</w:t>
      </w:r>
      <w:r w:rsidR="00CF4E6A" w:rsidRPr="00D64387">
        <w:t xml:space="preserve">                                                                                                            </w:t>
      </w:r>
      <w:bookmarkEnd w:id="0"/>
    </w:p>
    <w:p w:rsidR="003F06B7" w:rsidRDefault="003F06B7" w:rsidP="0048297D">
      <w:pPr>
        <w:jc w:val="both"/>
      </w:pPr>
    </w:p>
    <w:p w:rsidR="003F06B7" w:rsidRDefault="003F06B7" w:rsidP="0048297D">
      <w:pPr>
        <w:jc w:val="both"/>
      </w:pPr>
    </w:p>
    <w:p w:rsidR="003F06B7" w:rsidRDefault="003F06B7" w:rsidP="003F06B7">
      <w:pPr>
        <w:tabs>
          <w:tab w:val="left" w:pos="5745"/>
        </w:tabs>
        <w:jc w:val="both"/>
      </w:pPr>
      <w:r>
        <w:t xml:space="preserve">                                                                               Приложение </w:t>
      </w:r>
      <w:r w:rsidR="00BA36FC">
        <w:t xml:space="preserve">1 </w:t>
      </w:r>
      <w:r>
        <w:t xml:space="preserve">к постановлению </w:t>
      </w:r>
    </w:p>
    <w:p w:rsidR="003F06B7" w:rsidRDefault="003F06B7" w:rsidP="003F06B7">
      <w:pPr>
        <w:tabs>
          <w:tab w:val="left" w:pos="5745"/>
        </w:tabs>
        <w:jc w:val="both"/>
      </w:pPr>
      <w:r>
        <w:t xml:space="preserve">                                                                               Администрации Давыдовского сельсовета</w:t>
      </w:r>
    </w:p>
    <w:p w:rsidR="003F06B7" w:rsidRDefault="003F06B7" w:rsidP="003F06B7">
      <w:pPr>
        <w:jc w:val="center"/>
      </w:pPr>
      <w:r>
        <w:t xml:space="preserve">                    </w:t>
      </w:r>
      <w:r w:rsidR="001C5859">
        <w:t xml:space="preserve">            от 13.08.2021 г. № 15</w:t>
      </w:r>
    </w:p>
    <w:p w:rsidR="003F06B7" w:rsidRDefault="003F06B7" w:rsidP="003F06B7">
      <w:pPr>
        <w:jc w:val="center"/>
      </w:pPr>
      <w:r>
        <w:t xml:space="preserve">                                                     «Об определении размера вреда,</w:t>
      </w:r>
    </w:p>
    <w:p w:rsidR="003F06B7" w:rsidRDefault="003F06B7" w:rsidP="003F06B7">
      <w:pPr>
        <w:jc w:val="center"/>
      </w:pPr>
      <w:r>
        <w:t xml:space="preserve">                                                                              причиняемого тяжеловесными транспортными</w:t>
      </w:r>
    </w:p>
    <w:p w:rsidR="003F06B7" w:rsidRDefault="003F06B7" w:rsidP="003F06B7">
      <w:pPr>
        <w:jc w:val="center"/>
      </w:pPr>
      <w:r>
        <w:t xml:space="preserve">                                                                               средствами, при движении </w:t>
      </w:r>
      <w:proofErr w:type="gramStart"/>
      <w:r>
        <w:t>таких</w:t>
      </w:r>
      <w:proofErr w:type="gramEnd"/>
      <w:r>
        <w:t xml:space="preserve"> транспортных</w:t>
      </w:r>
    </w:p>
    <w:p w:rsidR="003F06B7" w:rsidRDefault="00A86875" w:rsidP="00A86875">
      <w:pPr>
        <w:jc w:val="center"/>
      </w:pPr>
      <w:r>
        <w:t xml:space="preserve">                                                                        средств по автомобильным дорогам общего</w:t>
      </w:r>
    </w:p>
    <w:p w:rsidR="00A86875" w:rsidRDefault="00A86875" w:rsidP="00A86875">
      <w:pPr>
        <w:jc w:val="center"/>
      </w:pPr>
      <w:r>
        <w:t xml:space="preserve">                                                                              пользования местного значения Давыдовского </w:t>
      </w:r>
    </w:p>
    <w:p w:rsidR="003F06B7" w:rsidRDefault="00A86875" w:rsidP="00A86875">
      <w:pPr>
        <w:jc w:val="center"/>
      </w:pPr>
      <w:r>
        <w:t xml:space="preserve">                                                                              сельсовета Притобольного района </w:t>
      </w:r>
      <w:proofErr w:type="gramStart"/>
      <w:r>
        <w:t>Курганской</w:t>
      </w:r>
      <w:proofErr w:type="gramEnd"/>
      <w:r>
        <w:t xml:space="preserve">                </w:t>
      </w:r>
    </w:p>
    <w:p w:rsidR="003F06B7" w:rsidRDefault="00A86875" w:rsidP="00A86875">
      <w:pPr>
        <w:jc w:val="center"/>
      </w:pPr>
      <w:r>
        <w:t xml:space="preserve">             области»</w:t>
      </w:r>
    </w:p>
    <w:p w:rsidR="003F06B7" w:rsidRDefault="003F06B7" w:rsidP="0048297D">
      <w:pPr>
        <w:jc w:val="both"/>
      </w:pPr>
    </w:p>
    <w:p w:rsidR="00A86875" w:rsidRDefault="00A86875" w:rsidP="0048297D">
      <w:pPr>
        <w:jc w:val="both"/>
      </w:pPr>
    </w:p>
    <w:p w:rsidR="00A86875" w:rsidRDefault="00A86875" w:rsidP="00A86875">
      <w:pPr>
        <w:jc w:val="center"/>
      </w:pPr>
    </w:p>
    <w:p w:rsidR="00A86875" w:rsidRDefault="00A86875" w:rsidP="00A86875">
      <w:pPr>
        <w:jc w:val="center"/>
      </w:pPr>
      <w:r>
        <w:t>Показатели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Давыдовского сельсовета Притобольного района Курганской области</w:t>
      </w:r>
    </w:p>
    <w:p w:rsidR="00A86875" w:rsidRDefault="00A86875" w:rsidP="0048297D">
      <w:pPr>
        <w:jc w:val="both"/>
      </w:pPr>
    </w:p>
    <w:p w:rsidR="00390073" w:rsidRDefault="00390073" w:rsidP="0048297D">
      <w:pPr>
        <w:jc w:val="both"/>
      </w:pPr>
    </w:p>
    <w:p w:rsidR="00390073" w:rsidRPr="003D3A55" w:rsidRDefault="003D3A55" w:rsidP="0048297D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</w:t>
      </w:r>
      <w:r w:rsidRPr="003D3A55">
        <w:rPr>
          <w:b/>
        </w:rPr>
        <w:t>Таблица 1</w:t>
      </w:r>
    </w:p>
    <w:p w:rsidR="00390073" w:rsidRDefault="00390073" w:rsidP="0048297D">
      <w:pPr>
        <w:jc w:val="both"/>
      </w:pPr>
    </w:p>
    <w:p w:rsidR="00390073" w:rsidRPr="00A86875" w:rsidRDefault="00390073" w:rsidP="00390073">
      <w:pPr>
        <w:jc w:val="center"/>
        <w:rPr>
          <w:b/>
          <w:shd w:val="clear" w:color="auto" w:fill="FFFFFF"/>
        </w:rPr>
      </w:pPr>
      <w:r w:rsidRPr="00A86875">
        <w:rPr>
          <w:b/>
          <w:shd w:val="clear" w:color="auto" w:fill="FFFFFF"/>
        </w:rPr>
        <w:t>Размер</w:t>
      </w:r>
      <w:r w:rsidRPr="00A86875">
        <w:rPr>
          <w:b/>
        </w:rPr>
        <w:br/>
      </w:r>
      <w:r w:rsidRPr="00A86875">
        <w:rPr>
          <w:b/>
          <w:shd w:val="clear" w:color="auto" w:fill="FFFFFF"/>
        </w:rPr>
        <w:t>вреда, причиняемого тяжеловесными транспортными средствами, при движении</w:t>
      </w:r>
    </w:p>
    <w:p w:rsidR="00390073" w:rsidRPr="00A86875" w:rsidRDefault="00390073" w:rsidP="00390073">
      <w:pPr>
        <w:jc w:val="center"/>
        <w:rPr>
          <w:b/>
          <w:shd w:val="clear" w:color="auto" w:fill="FFFFFF"/>
        </w:rPr>
      </w:pPr>
      <w:r w:rsidRPr="00A86875">
        <w:rPr>
          <w:b/>
          <w:shd w:val="clear" w:color="auto" w:fill="FFFFFF"/>
        </w:rPr>
        <w:t>таких транспортных средств по автомобильным дорогам местного значения,</w:t>
      </w:r>
    </w:p>
    <w:p w:rsidR="00390073" w:rsidRPr="00A86875" w:rsidRDefault="00390073" w:rsidP="00390073">
      <w:pPr>
        <w:jc w:val="center"/>
        <w:rPr>
          <w:b/>
          <w:shd w:val="clear" w:color="auto" w:fill="FFFFFF"/>
        </w:rPr>
      </w:pPr>
      <w:proofErr w:type="gramStart"/>
      <w:r w:rsidRPr="00A86875">
        <w:rPr>
          <w:b/>
          <w:shd w:val="clear" w:color="auto" w:fill="FFFFFF"/>
        </w:rPr>
        <w:t>рас</w:t>
      </w:r>
      <w:r>
        <w:rPr>
          <w:b/>
          <w:shd w:val="clear" w:color="auto" w:fill="FFFFFF"/>
        </w:rPr>
        <w:t>считанным</w:t>
      </w:r>
      <w:proofErr w:type="gramEnd"/>
      <w:r>
        <w:rPr>
          <w:b/>
          <w:shd w:val="clear" w:color="auto" w:fill="FFFFFF"/>
        </w:rPr>
        <w:t xml:space="preserve"> под осевую нагрузку 6</w:t>
      </w:r>
      <w:r w:rsidRPr="00A86875">
        <w:rPr>
          <w:b/>
          <w:shd w:val="clear" w:color="auto" w:fill="FFFFFF"/>
        </w:rPr>
        <w:t xml:space="preserve"> т, от превышения допустимых нагрузок</w:t>
      </w:r>
    </w:p>
    <w:p w:rsidR="00390073" w:rsidRPr="00A86875" w:rsidRDefault="00390073" w:rsidP="00390073">
      <w:pPr>
        <w:jc w:val="center"/>
        <w:rPr>
          <w:b/>
          <w:shd w:val="clear" w:color="auto" w:fill="FFFFFF"/>
        </w:rPr>
      </w:pPr>
      <w:r w:rsidRPr="00A86875">
        <w:rPr>
          <w:b/>
          <w:shd w:val="clear" w:color="auto" w:fill="FFFFFF"/>
        </w:rPr>
        <w:t>на ось транспортного средства</w:t>
      </w:r>
    </w:p>
    <w:p w:rsidR="00390073" w:rsidRDefault="00390073" w:rsidP="00390073">
      <w:pPr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3"/>
        <w:gridCol w:w="3402"/>
      </w:tblGrid>
      <w:tr w:rsidR="00390073" w:rsidTr="00390073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73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Превышение фактических нагрузок на ось </w:t>
            </w:r>
          </w:p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транспортного средства над </w:t>
            </w:r>
            <w:proofErr w:type="gramStart"/>
            <w:r w:rsidRPr="000A4CAD">
              <w:rPr>
                <w:sz w:val="20"/>
                <w:szCs w:val="20"/>
              </w:rPr>
              <w:t>допустимыми</w:t>
            </w:r>
            <w:proofErr w:type="gramEnd"/>
          </w:p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73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Размер вреда</w:t>
            </w:r>
          </w:p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(рублей на 100 км)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6 443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6 882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7 510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8 897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lastRenderedPageBreak/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9 102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9 315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9 535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9 762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9 997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10 238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10 486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10 742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11 004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11 273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11 549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11 833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12 123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12 420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12 724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13 035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13 353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13 677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14 009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14 347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14 692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15 004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15 403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15 769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16 141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16 521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16 907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17 299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17 699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18 105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18 518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18 938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D3A55" w:rsidP="0039007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19 364</w:t>
            </w:r>
            <w:r w:rsidR="00390073" w:rsidRPr="000A4CAD">
              <w:rPr>
                <w:sz w:val="20"/>
                <w:szCs w:val="20"/>
              </w:rPr>
              <w:t>,00</w:t>
            </w:r>
          </w:p>
        </w:tc>
      </w:tr>
      <w:tr w:rsidR="00390073" w:rsidTr="00390073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3" w:rsidRPr="000A4CAD" w:rsidRDefault="00390073" w:rsidP="00390073">
            <w:pPr>
              <w:pStyle w:val="ac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по отдельному расчету</w:t>
            </w:r>
            <w:hyperlink w:anchor="sub_333" w:history="1">
              <w:r w:rsidRPr="000A4CAD">
                <w:rPr>
                  <w:rStyle w:val="a7"/>
                  <w:sz w:val="20"/>
                  <w:szCs w:val="20"/>
                </w:rPr>
                <w:t>&lt;*&gt;</w:t>
              </w:r>
            </w:hyperlink>
          </w:p>
        </w:tc>
      </w:tr>
    </w:tbl>
    <w:p w:rsidR="00390073" w:rsidRDefault="00390073" w:rsidP="00390073">
      <w:pPr>
        <w:jc w:val="both"/>
      </w:pPr>
      <w:proofErr w:type="gramStart"/>
      <w:r w:rsidRPr="00E75B39"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8" w:history="1">
        <w:r w:rsidRPr="00E75B39">
          <w:rPr>
            <w:rStyle w:val="a7"/>
            <w:rFonts w:eastAsiaTheme="minorEastAsia"/>
            <w:color w:val="auto"/>
          </w:rPr>
          <w:t>приложением</w:t>
        </w:r>
      </w:hyperlink>
      <w:r w:rsidRPr="00E75B39">
        <w:t xml:space="preserve"> к Правилам возмещения вреда, причиняемого тяжеловесными транспортными средствами, утвержденным </w:t>
      </w:r>
      <w:hyperlink w:anchor="sub_0" w:history="1">
        <w:r w:rsidRPr="00E75B39">
          <w:rPr>
            <w:rStyle w:val="a7"/>
            <w:rFonts w:eastAsiaTheme="minorEastAsia"/>
            <w:color w:val="auto"/>
          </w:rPr>
          <w:t>постановлением</w:t>
        </w:r>
      </w:hyperlink>
      <w:r w:rsidRPr="00E75B39">
        <w:t xml:space="preserve"> Правительства Российской </w:t>
      </w:r>
      <w:r>
        <w:t xml:space="preserve">Федерации </w:t>
      </w:r>
      <w:r w:rsidRPr="00CC383B">
        <w:t>от 31.01.2020  №67</w:t>
      </w:r>
      <w:r w:rsidRPr="00E75B39">
        <w:rPr>
          <w:shd w:val="clear" w:color="auto" w:fill="FFFFFF"/>
        </w:rPr>
        <w:t>«</w:t>
      </w:r>
      <w:r w:rsidRPr="00E75B39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p w:rsidR="00390073" w:rsidRDefault="00390073" w:rsidP="00390073">
      <w:pPr>
        <w:jc w:val="both"/>
      </w:pPr>
    </w:p>
    <w:p w:rsidR="00390073" w:rsidRDefault="00390073" w:rsidP="0048297D">
      <w:pPr>
        <w:jc w:val="both"/>
      </w:pPr>
    </w:p>
    <w:p w:rsidR="00A86875" w:rsidRDefault="00A86875" w:rsidP="0048297D">
      <w:pPr>
        <w:jc w:val="both"/>
      </w:pPr>
    </w:p>
    <w:p w:rsidR="002200B3" w:rsidRDefault="003D3A55" w:rsidP="002200B3">
      <w:pPr>
        <w:pStyle w:val="a6"/>
        <w:ind w:left="0"/>
        <w:jc w:val="right"/>
      </w:pPr>
      <w:r>
        <w:t>Таблица 2</w:t>
      </w:r>
    </w:p>
    <w:p w:rsidR="002200B3" w:rsidRDefault="002200B3" w:rsidP="002200B3">
      <w:pPr>
        <w:pStyle w:val="a6"/>
        <w:ind w:left="0"/>
        <w:jc w:val="right"/>
      </w:pPr>
    </w:p>
    <w:p w:rsidR="0083588E" w:rsidRPr="00A86875" w:rsidRDefault="00283241" w:rsidP="00283241">
      <w:pPr>
        <w:jc w:val="center"/>
        <w:rPr>
          <w:b/>
          <w:shd w:val="clear" w:color="auto" w:fill="FFFFFF"/>
        </w:rPr>
      </w:pPr>
      <w:r w:rsidRPr="00A86875">
        <w:rPr>
          <w:b/>
          <w:shd w:val="clear" w:color="auto" w:fill="FFFFFF"/>
        </w:rPr>
        <w:t>Размер</w:t>
      </w:r>
      <w:r w:rsidRPr="00A86875">
        <w:rPr>
          <w:b/>
        </w:rPr>
        <w:br/>
      </w:r>
      <w:r w:rsidRPr="00A86875">
        <w:rPr>
          <w:b/>
          <w:shd w:val="clear" w:color="auto" w:fill="FFFFFF"/>
        </w:rPr>
        <w:t xml:space="preserve">вреда, причиняемого тяжеловесными транспортными средствами, </w:t>
      </w:r>
      <w:r w:rsidR="00C83B0E" w:rsidRPr="00A86875">
        <w:rPr>
          <w:b/>
          <w:shd w:val="clear" w:color="auto" w:fill="FFFFFF"/>
        </w:rPr>
        <w:t>при движении</w:t>
      </w:r>
    </w:p>
    <w:p w:rsidR="009623CE" w:rsidRPr="00A86875" w:rsidRDefault="00283241" w:rsidP="009623CE">
      <w:pPr>
        <w:jc w:val="center"/>
        <w:rPr>
          <w:b/>
          <w:shd w:val="clear" w:color="auto" w:fill="FFFFFF"/>
        </w:rPr>
      </w:pPr>
      <w:r w:rsidRPr="00A86875">
        <w:rPr>
          <w:b/>
          <w:shd w:val="clear" w:color="auto" w:fill="FFFFFF"/>
        </w:rPr>
        <w:t>таких транспортных средств</w:t>
      </w:r>
      <w:r w:rsidR="003F06B7" w:rsidRPr="00A86875">
        <w:rPr>
          <w:b/>
          <w:shd w:val="clear" w:color="auto" w:fill="FFFFFF"/>
        </w:rPr>
        <w:t xml:space="preserve"> </w:t>
      </w:r>
      <w:r w:rsidR="00C83B0E" w:rsidRPr="00A86875">
        <w:rPr>
          <w:b/>
          <w:shd w:val="clear" w:color="auto" w:fill="FFFFFF"/>
        </w:rPr>
        <w:t>по автомобильным дорогам местного значения</w:t>
      </w:r>
      <w:r w:rsidRPr="00A86875">
        <w:rPr>
          <w:b/>
          <w:shd w:val="clear" w:color="auto" w:fill="FFFFFF"/>
        </w:rPr>
        <w:t>,</w:t>
      </w:r>
    </w:p>
    <w:p w:rsidR="009623CE" w:rsidRPr="00A86875" w:rsidRDefault="00283241" w:rsidP="009623CE">
      <w:pPr>
        <w:jc w:val="center"/>
        <w:rPr>
          <w:b/>
          <w:shd w:val="clear" w:color="auto" w:fill="FFFFFF"/>
        </w:rPr>
      </w:pPr>
      <w:proofErr w:type="gramStart"/>
      <w:r w:rsidRPr="00A86875">
        <w:rPr>
          <w:b/>
          <w:shd w:val="clear" w:color="auto" w:fill="FFFFFF"/>
        </w:rPr>
        <w:t>рассчитанным</w:t>
      </w:r>
      <w:proofErr w:type="gramEnd"/>
      <w:r w:rsidRPr="00A86875">
        <w:rPr>
          <w:b/>
          <w:shd w:val="clear" w:color="auto" w:fill="FFFFFF"/>
        </w:rPr>
        <w:t xml:space="preserve"> под осевую нагрузку 10 т, от превышения </w:t>
      </w:r>
      <w:r w:rsidR="00C417D4" w:rsidRPr="00A86875">
        <w:rPr>
          <w:b/>
          <w:shd w:val="clear" w:color="auto" w:fill="FFFFFF"/>
        </w:rPr>
        <w:t>допустимых нагрузок</w:t>
      </w:r>
    </w:p>
    <w:p w:rsidR="00283241" w:rsidRPr="00A86875" w:rsidRDefault="00283241" w:rsidP="009623CE">
      <w:pPr>
        <w:jc w:val="center"/>
        <w:rPr>
          <w:b/>
          <w:shd w:val="clear" w:color="auto" w:fill="FFFFFF"/>
        </w:rPr>
      </w:pPr>
      <w:r w:rsidRPr="00A86875">
        <w:rPr>
          <w:b/>
          <w:shd w:val="clear" w:color="auto" w:fill="FFFFFF"/>
        </w:rPr>
        <w:t>на ось транспортного средства</w:t>
      </w:r>
    </w:p>
    <w:p w:rsidR="00283241" w:rsidRDefault="00283241" w:rsidP="00283241">
      <w:pPr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3"/>
        <w:gridCol w:w="3402"/>
      </w:tblGrid>
      <w:tr w:rsidR="00283241" w:rsidTr="00CC383B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3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Превышение фактических нагрузок на ось </w:t>
            </w:r>
          </w:p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транспортного средства над </w:t>
            </w:r>
            <w:proofErr w:type="gramStart"/>
            <w:r w:rsidRPr="000A4CAD">
              <w:rPr>
                <w:sz w:val="20"/>
                <w:szCs w:val="20"/>
              </w:rPr>
              <w:t>допустимыми</w:t>
            </w:r>
            <w:proofErr w:type="gramEnd"/>
          </w:p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427" w:rsidRDefault="00283241" w:rsidP="006A242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Размер вреда</w:t>
            </w:r>
          </w:p>
          <w:p w:rsidR="00283241" w:rsidRPr="000A4CAD" w:rsidRDefault="00283241" w:rsidP="006A242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(рублей на 100 км)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1 410,00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1 431,00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lastRenderedPageBreak/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1 459,00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1 494,00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1 536,00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1 585,00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1 642,00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1 705,00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1 775,00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1 851,00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1 935,00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2 025,00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2 121,00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2 224,00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2 334,00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2 450,00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2 573,00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2 702,00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2 837,00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2 979,00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3 127,00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3 282,00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3 443,00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3 610,00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3 783,00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3 963,00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4 149,00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4 341,00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4 539,00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4 743,00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4 954,00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5 171,00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5 394,00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5 623,00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5 858,00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6 099,00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6 346,00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6 599,00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6 859,00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7 124,00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7 395,00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7 673,00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7 956,00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8 246,00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8 541,00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8 842,00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9 150,00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9 463,00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9 782,00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10 107,00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10 438,00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10 775,00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11 118,00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11 467,00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11 821,00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12 182,00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12 548,00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12 920,00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c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по отдельному расчету</w:t>
            </w:r>
            <w:hyperlink w:anchor="sub_333" w:history="1">
              <w:r w:rsidRPr="000A4CAD">
                <w:rPr>
                  <w:rStyle w:val="a7"/>
                  <w:sz w:val="20"/>
                  <w:szCs w:val="20"/>
                </w:rPr>
                <w:t>&lt;*&gt;</w:t>
              </w:r>
            </w:hyperlink>
          </w:p>
        </w:tc>
      </w:tr>
    </w:tbl>
    <w:p w:rsidR="00AB5897" w:rsidRDefault="00845554" w:rsidP="003D3A55">
      <w:pPr>
        <w:jc w:val="both"/>
      </w:pPr>
      <w:proofErr w:type="gramStart"/>
      <w:r w:rsidRPr="00E75B39"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9" w:history="1">
        <w:r w:rsidRPr="00E75B39">
          <w:rPr>
            <w:rStyle w:val="a7"/>
            <w:rFonts w:eastAsiaTheme="minorEastAsia"/>
            <w:color w:val="auto"/>
          </w:rPr>
          <w:t>приложением</w:t>
        </w:r>
      </w:hyperlink>
      <w:r w:rsidRPr="00E75B39">
        <w:t xml:space="preserve"> к Правилам возмещения вреда, причиняемого тяжеловесными транспортными средствами, </w:t>
      </w:r>
      <w:r w:rsidRPr="00E75B39">
        <w:lastRenderedPageBreak/>
        <w:t xml:space="preserve">утвержденным </w:t>
      </w:r>
      <w:hyperlink w:anchor="sub_0" w:history="1">
        <w:r w:rsidRPr="00E75B39">
          <w:rPr>
            <w:rStyle w:val="a7"/>
            <w:rFonts w:eastAsiaTheme="minorEastAsia"/>
            <w:color w:val="auto"/>
          </w:rPr>
          <w:t>постановлением</w:t>
        </w:r>
      </w:hyperlink>
      <w:r w:rsidRPr="00E75B39">
        <w:t xml:space="preserve"> Правительства Российской </w:t>
      </w:r>
      <w:r>
        <w:t xml:space="preserve">Федерации </w:t>
      </w:r>
      <w:r w:rsidRPr="00CC383B">
        <w:t>от 31.01.2020  №67</w:t>
      </w:r>
      <w:r w:rsidRPr="00E75B39">
        <w:rPr>
          <w:shd w:val="clear" w:color="auto" w:fill="FFFFFF"/>
        </w:rPr>
        <w:t>«</w:t>
      </w:r>
      <w:r w:rsidRPr="00E75B39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p w:rsidR="00AB5897" w:rsidRDefault="00AB5897" w:rsidP="00283241">
      <w:pPr>
        <w:pStyle w:val="a6"/>
        <w:ind w:left="0"/>
        <w:jc w:val="right"/>
      </w:pPr>
    </w:p>
    <w:p w:rsidR="003D3A55" w:rsidRDefault="003D3A55" w:rsidP="00283241">
      <w:pPr>
        <w:pStyle w:val="a6"/>
        <w:ind w:left="0"/>
        <w:jc w:val="right"/>
      </w:pPr>
    </w:p>
    <w:p w:rsidR="003D3A55" w:rsidRDefault="003D3A55" w:rsidP="00283241">
      <w:pPr>
        <w:pStyle w:val="a6"/>
        <w:ind w:left="0"/>
        <w:jc w:val="right"/>
      </w:pPr>
    </w:p>
    <w:p w:rsidR="00283241" w:rsidRDefault="003D3A55" w:rsidP="00283241">
      <w:pPr>
        <w:pStyle w:val="a6"/>
        <w:ind w:left="0"/>
        <w:jc w:val="right"/>
      </w:pPr>
      <w:r>
        <w:t>Таблица 3</w:t>
      </w:r>
    </w:p>
    <w:p w:rsidR="00283241" w:rsidRDefault="00283241" w:rsidP="00051DA3">
      <w:pPr>
        <w:pStyle w:val="a6"/>
        <w:ind w:left="0"/>
      </w:pPr>
    </w:p>
    <w:p w:rsidR="00C83B0E" w:rsidRPr="00A86875" w:rsidRDefault="00C83B0E" w:rsidP="00C83B0E">
      <w:pPr>
        <w:jc w:val="center"/>
        <w:rPr>
          <w:b/>
          <w:shd w:val="clear" w:color="auto" w:fill="FFFFFF"/>
        </w:rPr>
      </w:pPr>
      <w:r w:rsidRPr="00A86875">
        <w:rPr>
          <w:b/>
          <w:shd w:val="clear" w:color="auto" w:fill="FFFFFF"/>
        </w:rPr>
        <w:t>Размер</w:t>
      </w:r>
      <w:r w:rsidRPr="00A86875">
        <w:rPr>
          <w:b/>
        </w:rPr>
        <w:br/>
      </w:r>
      <w:r w:rsidRPr="00A86875">
        <w:rPr>
          <w:b/>
          <w:shd w:val="clear" w:color="auto" w:fill="FFFFFF"/>
        </w:rPr>
        <w:t>вреда, причиняемого тяжеловесными транспортными средствами, при движении</w:t>
      </w:r>
    </w:p>
    <w:p w:rsidR="00C83B0E" w:rsidRPr="00A86875" w:rsidRDefault="00C83B0E" w:rsidP="002C3D85">
      <w:pPr>
        <w:jc w:val="center"/>
        <w:rPr>
          <w:b/>
          <w:shd w:val="clear" w:color="auto" w:fill="FFFFFF"/>
        </w:rPr>
      </w:pPr>
      <w:r w:rsidRPr="00A86875">
        <w:rPr>
          <w:b/>
          <w:shd w:val="clear" w:color="auto" w:fill="FFFFFF"/>
        </w:rPr>
        <w:t>таких транспортных средств</w:t>
      </w:r>
      <w:r w:rsidR="00AB5897">
        <w:rPr>
          <w:b/>
          <w:shd w:val="clear" w:color="auto" w:fill="FFFFFF"/>
        </w:rPr>
        <w:t xml:space="preserve"> </w:t>
      </w:r>
      <w:r w:rsidRPr="00A86875">
        <w:rPr>
          <w:b/>
          <w:shd w:val="clear" w:color="auto" w:fill="FFFFFF"/>
        </w:rPr>
        <w:t>по автомобильным дорогам местного значения, рассчитанным под осевую нагрузку 11,5</w:t>
      </w:r>
      <w:r w:rsidR="009623CE" w:rsidRPr="00A86875">
        <w:rPr>
          <w:b/>
          <w:shd w:val="clear" w:color="auto" w:fill="FFFFFF"/>
        </w:rPr>
        <w:t xml:space="preserve"> т, от превышения допустимых </w:t>
      </w:r>
      <w:r w:rsidRPr="00A86875">
        <w:rPr>
          <w:b/>
          <w:shd w:val="clear" w:color="auto" w:fill="FFFFFF"/>
        </w:rPr>
        <w:t>нагрузок на ось транспортного средства</w:t>
      </w:r>
    </w:p>
    <w:p w:rsidR="002200B3" w:rsidRDefault="002200B3" w:rsidP="002200B3">
      <w:pPr>
        <w:pStyle w:val="a6"/>
        <w:ind w:left="0"/>
        <w:jc w:val="cent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6096"/>
        <w:gridCol w:w="3402"/>
      </w:tblGrid>
      <w:tr w:rsidR="00583476" w:rsidTr="00CC383B">
        <w:trPr>
          <w:trHeight w:val="816"/>
        </w:trPr>
        <w:tc>
          <w:tcPr>
            <w:tcW w:w="6096" w:type="dxa"/>
            <w:vAlign w:val="center"/>
            <w:hideMark/>
          </w:tcPr>
          <w:p w:rsidR="000E353A" w:rsidRDefault="00583476" w:rsidP="000E353A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Превышение фактических нагрузок на ось </w:t>
            </w:r>
          </w:p>
          <w:p w:rsidR="000E353A" w:rsidRDefault="00583476" w:rsidP="000E353A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транспортного средства над </w:t>
            </w:r>
            <w:proofErr w:type="gramStart"/>
            <w:r w:rsidRPr="000A4CAD">
              <w:rPr>
                <w:sz w:val="20"/>
                <w:szCs w:val="20"/>
              </w:rPr>
              <w:t>допустимыми</w:t>
            </w:r>
            <w:proofErr w:type="gramEnd"/>
          </w:p>
          <w:p w:rsidR="00583476" w:rsidRPr="000A4CAD" w:rsidRDefault="00583476" w:rsidP="000E353A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3402" w:type="dxa"/>
            <w:vAlign w:val="center"/>
            <w:hideMark/>
          </w:tcPr>
          <w:p w:rsidR="000E353A" w:rsidRDefault="00583476" w:rsidP="000E353A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Размер вреда</w:t>
            </w:r>
          </w:p>
          <w:p w:rsidR="00583476" w:rsidRPr="000A4CAD" w:rsidRDefault="00583476" w:rsidP="000E353A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 (рублей на 100 км)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641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648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657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668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682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698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716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736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758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783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809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838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869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902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937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974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1014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1055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1098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144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191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23 (включительно) до 24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241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292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346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401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459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518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580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643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709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776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846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917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990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066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143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222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lastRenderedPageBreak/>
              <w:t>от 39 (включительно) до 40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303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2386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471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558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647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44 (включительно) до 45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738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830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925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021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120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220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322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426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532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640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750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862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975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091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208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327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hideMark/>
          </w:tcPr>
          <w:p w:rsidR="00283241" w:rsidRPr="000A4CAD" w:rsidRDefault="00640F07">
            <w:pPr>
              <w:pStyle w:val="ac"/>
              <w:spacing w:line="256" w:lineRule="auto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по отдельному расчету</w:t>
            </w:r>
            <w:hyperlink w:anchor="sub_333" w:history="1">
              <w:r w:rsidRPr="000A4CAD">
                <w:rPr>
                  <w:rStyle w:val="a7"/>
                  <w:sz w:val="20"/>
                  <w:szCs w:val="20"/>
                </w:rPr>
                <w:t>&lt;*&gt;</w:t>
              </w:r>
            </w:hyperlink>
          </w:p>
        </w:tc>
      </w:tr>
    </w:tbl>
    <w:p w:rsidR="00F80B9B" w:rsidRDefault="00640F07" w:rsidP="00F80B9B">
      <w:pPr>
        <w:jc w:val="both"/>
      </w:pPr>
      <w:proofErr w:type="gramStart"/>
      <w:r w:rsidRPr="00640F07">
        <w:t>&lt;*&gt;</w:t>
      </w:r>
      <w:r>
        <w:t xml:space="preserve">рассчитывается по формулам, приведенным в методике расчета размера вреда, </w:t>
      </w:r>
      <w:r w:rsidRPr="00640F07">
        <w:t xml:space="preserve">причиняемого тяжеловесными транспортными средствами, предусмотренной </w:t>
      </w:r>
      <w:hyperlink r:id="rId10" w:history="1">
        <w:r w:rsidRPr="00640F07">
          <w:rPr>
            <w:rStyle w:val="a7"/>
            <w:color w:val="auto"/>
          </w:rPr>
          <w:t>приложением</w:t>
        </w:r>
      </w:hyperlink>
      <w:r w:rsidRPr="00640F07">
        <w:t xml:space="preserve"> к Правилам возмещения вреда, причиняемого тяжеловесными транспортными средствами, утвержденным </w:t>
      </w:r>
      <w:hyperlink r:id="rId11" w:anchor="sub_0" w:history="1">
        <w:r w:rsidRPr="00640F07">
          <w:rPr>
            <w:rStyle w:val="a7"/>
            <w:color w:val="auto"/>
          </w:rPr>
          <w:t>постановлением</w:t>
        </w:r>
      </w:hyperlink>
      <w:r w:rsidRPr="00640F07">
        <w:t xml:space="preserve"> Правительства Российской </w:t>
      </w:r>
      <w:r w:rsidR="00F80B9B">
        <w:t xml:space="preserve">Федерации от </w:t>
      </w:r>
      <w:r w:rsidR="00F80B9B" w:rsidRPr="00CC383B">
        <w:t>31</w:t>
      </w:r>
      <w:r w:rsidR="009073D6" w:rsidRPr="00CC383B">
        <w:t>.01.2020</w:t>
      </w:r>
      <w:r w:rsidR="00F80B9B" w:rsidRPr="00CC383B">
        <w:t xml:space="preserve"> №</w:t>
      </w:r>
      <w:r w:rsidRPr="00CC383B">
        <w:t>67</w:t>
      </w:r>
      <w:r w:rsidR="00F80B9B" w:rsidRPr="00836910">
        <w:rPr>
          <w:shd w:val="clear" w:color="auto" w:fill="FFFFFF"/>
        </w:rPr>
        <w:t>«</w:t>
      </w:r>
      <w:r w:rsidR="00F80B9B" w:rsidRPr="00836910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p w:rsidR="00A86875" w:rsidRDefault="00A86875" w:rsidP="00F80B9B">
      <w:pPr>
        <w:jc w:val="both"/>
      </w:pPr>
    </w:p>
    <w:p w:rsidR="003D3A55" w:rsidRDefault="003D3A55" w:rsidP="00F80B9B">
      <w:pPr>
        <w:jc w:val="both"/>
      </w:pPr>
    </w:p>
    <w:p w:rsidR="00A86875" w:rsidRDefault="003D3A55" w:rsidP="00A86875">
      <w:pPr>
        <w:tabs>
          <w:tab w:val="left" w:pos="7455"/>
        </w:tabs>
        <w:jc w:val="both"/>
      </w:pPr>
      <w:r>
        <w:tab/>
        <w:t xml:space="preserve">               Таблица 4</w:t>
      </w:r>
    </w:p>
    <w:p w:rsidR="00A86875" w:rsidRPr="00836910" w:rsidRDefault="00A86875" w:rsidP="00F80B9B">
      <w:pPr>
        <w:jc w:val="both"/>
      </w:pPr>
    </w:p>
    <w:p w:rsidR="002200B3" w:rsidRPr="00640F07" w:rsidRDefault="002200B3" w:rsidP="00640F07">
      <w:pPr>
        <w:pStyle w:val="a6"/>
        <w:ind w:left="0"/>
        <w:jc w:val="both"/>
      </w:pPr>
    </w:p>
    <w:p w:rsidR="00A86875" w:rsidRPr="00A86875" w:rsidRDefault="00A86875" w:rsidP="00A86875">
      <w:pPr>
        <w:pStyle w:val="1"/>
        <w:spacing w:before="0" w:after="0"/>
        <w:rPr>
          <w:color w:val="auto"/>
          <w:shd w:val="clear" w:color="auto" w:fill="FFFFFF"/>
        </w:rPr>
      </w:pPr>
      <w:r w:rsidRPr="00A86875">
        <w:rPr>
          <w:color w:val="auto"/>
          <w:shd w:val="clear" w:color="auto" w:fill="FFFFFF"/>
        </w:rPr>
        <w:t>Размер</w:t>
      </w:r>
      <w:r w:rsidRPr="00A86875">
        <w:rPr>
          <w:color w:val="auto"/>
        </w:rPr>
        <w:br/>
      </w:r>
      <w:r w:rsidRPr="00A86875">
        <w:rPr>
          <w:color w:val="auto"/>
          <w:shd w:val="clear" w:color="auto" w:fill="FFFFFF"/>
        </w:rPr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от превышения допустимой для автомобильной дороги массы транспортного средства</w:t>
      </w:r>
    </w:p>
    <w:p w:rsidR="00A86875" w:rsidRPr="00E75B39" w:rsidRDefault="00A86875" w:rsidP="00A86875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3"/>
        <w:gridCol w:w="3402"/>
      </w:tblGrid>
      <w:tr w:rsidR="00A86875" w:rsidTr="00AB5897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75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фактической массы </w:t>
            </w:r>
            <w:proofErr w:type="gramStart"/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  <w:r w:rsidRPr="00A5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над </w:t>
            </w:r>
            <w:proofErr w:type="gramStart"/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допустимой</w:t>
            </w:r>
            <w:proofErr w:type="gramEnd"/>
          </w:p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75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Размер вреда</w:t>
            </w:r>
          </w:p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 xml:space="preserve"> (рублей на 100 км)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3 339,00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3 394,00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3 448,00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3 502,00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3 556,00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3 610,00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3 664,00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3 718,00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3 772,00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3 827,00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3 881,00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3 935,00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3 989,00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4 043,00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4 097,00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4 151,00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4 205,00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4 260,00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4 314,00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4 368,00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4 422,00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4 476,00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4 530,00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4 584,00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4 638,00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4 693,00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4 747,00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4 801,00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4 855,00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4 909,00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4963,00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5 017,00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5 072,00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5 126,00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5 180,00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5 234,00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5 288,00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5 342,00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5 396,00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5 450,00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5 505,00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5 559,00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5 613,00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5 667,00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5 721,00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5 775,00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5 829,00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5 883,00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5 938,00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5 992,00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6 046,00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6 100,00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6 154,00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6 208,00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6 262,00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6 316,00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6 371,00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6 425,00</w:t>
            </w:r>
          </w:p>
        </w:tc>
      </w:tr>
      <w:tr w:rsidR="00A86875" w:rsidTr="00AB589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5" w:rsidRPr="00A50ECA" w:rsidRDefault="00A86875" w:rsidP="00AB589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по отдельному расчет</w:t>
            </w:r>
            <w:r w:rsidRPr="00E75B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hyperlink w:anchor="sub_333" w:history="1">
              <w:r w:rsidRPr="00E75B3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&lt;*&gt;</w:t>
              </w:r>
            </w:hyperlink>
          </w:p>
        </w:tc>
      </w:tr>
    </w:tbl>
    <w:p w:rsidR="002C23D8" w:rsidRDefault="00A86875" w:rsidP="00EF0422">
      <w:pPr>
        <w:jc w:val="both"/>
      </w:pPr>
      <w:proofErr w:type="gramStart"/>
      <w:r w:rsidRPr="00E75B39"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12" w:history="1">
        <w:r w:rsidRPr="00E75B39">
          <w:rPr>
            <w:rStyle w:val="a7"/>
            <w:rFonts w:eastAsiaTheme="minorEastAsia"/>
            <w:color w:val="auto"/>
          </w:rPr>
          <w:t>приложением</w:t>
        </w:r>
      </w:hyperlink>
      <w:r w:rsidRPr="00E75B39">
        <w:t xml:space="preserve"> к Правилам возмещения вреда, причиняемого тяжеловесными транспортными средствами, утвержденным </w:t>
      </w:r>
      <w:hyperlink w:anchor="sub_0" w:history="1">
        <w:r w:rsidRPr="00E75B39">
          <w:rPr>
            <w:rStyle w:val="a7"/>
            <w:rFonts w:eastAsiaTheme="minorEastAsia"/>
            <w:color w:val="auto"/>
          </w:rPr>
          <w:t>постановлением</w:t>
        </w:r>
      </w:hyperlink>
      <w:r w:rsidRPr="00E75B39">
        <w:t xml:space="preserve"> Правительства Российской </w:t>
      </w:r>
      <w:r>
        <w:t xml:space="preserve">Федерации </w:t>
      </w:r>
      <w:r w:rsidRPr="00CC383B">
        <w:t>от 31.01.2020  №</w:t>
      </w:r>
      <w:r w:rsidR="00BA36FC">
        <w:t xml:space="preserve"> </w:t>
      </w:r>
      <w:r w:rsidRPr="00CC383B">
        <w:t>67</w:t>
      </w:r>
      <w:r w:rsidRPr="00E75B39">
        <w:rPr>
          <w:shd w:val="clear" w:color="auto" w:fill="FFFFFF"/>
        </w:rPr>
        <w:t>«</w:t>
      </w:r>
      <w:r w:rsidRPr="00E75B39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</w:r>
      <w:r w:rsidR="00AE29AA">
        <w:t>вительства Российской Федераци</w:t>
      </w:r>
      <w:r w:rsidR="00EF0422">
        <w:t>и»</w:t>
      </w:r>
      <w:proofErr w:type="gramEnd"/>
    </w:p>
    <w:p w:rsidR="002C23D8" w:rsidRDefault="002C23D8" w:rsidP="002200B3">
      <w:pPr>
        <w:pStyle w:val="a6"/>
        <w:ind w:left="0"/>
        <w:jc w:val="center"/>
      </w:pPr>
    </w:p>
    <w:p w:rsidR="001C5859" w:rsidRDefault="00BA36FC" w:rsidP="00BA36FC">
      <w:pPr>
        <w:tabs>
          <w:tab w:val="left" w:pos="5745"/>
        </w:tabs>
        <w:jc w:val="both"/>
      </w:pPr>
      <w:r>
        <w:t xml:space="preserve">                                                                      </w:t>
      </w:r>
    </w:p>
    <w:p w:rsidR="001C5859" w:rsidRDefault="001C5859" w:rsidP="00BA36FC">
      <w:pPr>
        <w:tabs>
          <w:tab w:val="left" w:pos="5745"/>
        </w:tabs>
        <w:jc w:val="both"/>
      </w:pPr>
    </w:p>
    <w:p w:rsidR="001C5859" w:rsidRDefault="001C5859" w:rsidP="00BA36FC">
      <w:pPr>
        <w:tabs>
          <w:tab w:val="left" w:pos="5745"/>
        </w:tabs>
        <w:jc w:val="both"/>
      </w:pPr>
    </w:p>
    <w:p w:rsidR="001C5859" w:rsidRDefault="001C5859" w:rsidP="00BA36FC">
      <w:pPr>
        <w:tabs>
          <w:tab w:val="left" w:pos="5745"/>
        </w:tabs>
        <w:jc w:val="both"/>
      </w:pPr>
    </w:p>
    <w:p w:rsidR="001C5859" w:rsidRDefault="001C5859" w:rsidP="00BA36FC">
      <w:pPr>
        <w:tabs>
          <w:tab w:val="left" w:pos="5745"/>
        </w:tabs>
        <w:jc w:val="both"/>
      </w:pPr>
    </w:p>
    <w:p w:rsidR="00BA36FC" w:rsidRDefault="001C5859" w:rsidP="00BA36FC">
      <w:pPr>
        <w:tabs>
          <w:tab w:val="left" w:pos="5745"/>
        </w:tabs>
        <w:jc w:val="both"/>
      </w:pPr>
      <w:r>
        <w:lastRenderedPageBreak/>
        <w:t xml:space="preserve">                                                                      </w:t>
      </w:r>
      <w:r w:rsidR="00BA36FC">
        <w:t xml:space="preserve">         Приложение 2 к постановлению </w:t>
      </w:r>
    </w:p>
    <w:p w:rsidR="00BA36FC" w:rsidRDefault="00BA36FC" w:rsidP="00BA36FC">
      <w:pPr>
        <w:tabs>
          <w:tab w:val="left" w:pos="5745"/>
        </w:tabs>
        <w:jc w:val="both"/>
      </w:pPr>
      <w:r>
        <w:t xml:space="preserve">                                                                               Администрации Давыдовского сельсовета</w:t>
      </w:r>
    </w:p>
    <w:p w:rsidR="00BA36FC" w:rsidRDefault="00BA36FC" w:rsidP="00BA36FC">
      <w:pPr>
        <w:jc w:val="center"/>
      </w:pPr>
      <w:r>
        <w:t xml:space="preserve">                    </w:t>
      </w:r>
      <w:r w:rsidR="001C5859">
        <w:t xml:space="preserve">            от 13.08.2021 г. № 15</w:t>
      </w:r>
    </w:p>
    <w:p w:rsidR="00BA36FC" w:rsidRDefault="00BA36FC" w:rsidP="00BA36FC">
      <w:pPr>
        <w:jc w:val="center"/>
      </w:pPr>
      <w:r>
        <w:t xml:space="preserve">                                                     «Об определении размера вреда,</w:t>
      </w:r>
    </w:p>
    <w:p w:rsidR="00BA36FC" w:rsidRDefault="00BA36FC" w:rsidP="00BA36FC">
      <w:pPr>
        <w:jc w:val="center"/>
      </w:pPr>
      <w:r>
        <w:t xml:space="preserve">                                                                              причиняемого тяжеловесными транспортными</w:t>
      </w:r>
    </w:p>
    <w:p w:rsidR="00BA36FC" w:rsidRDefault="00BA36FC" w:rsidP="00BA36FC">
      <w:pPr>
        <w:jc w:val="center"/>
      </w:pPr>
      <w:r>
        <w:t xml:space="preserve">                                                                               средствами, при движении </w:t>
      </w:r>
      <w:proofErr w:type="gramStart"/>
      <w:r>
        <w:t>таких</w:t>
      </w:r>
      <w:proofErr w:type="gramEnd"/>
      <w:r>
        <w:t xml:space="preserve"> транспортных</w:t>
      </w:r>
    </w:p>
    <w:p w:rsidR="00BA36FC" w:rsidRDefault="00BA36FC" w:rsidP="00BA36FC">
      <w:pPr>
        <w:jc w:val="center"/>
      </w:pPr>
      <w:r>
        <w:t xml:space="preserve">                                                                        средств по автомобильным дорогам общего</w:t>
      </w:r>
    </w:p>
    <w:p w:rsidR="00BA36FC" w:rsidRDefault="00BA36FC" w:rsidP="00BA36FC">
      <w:pPr>
        <w:jc w:val="center"/>
      </w:pPr>
      <w:r>
        <w:t xml:space="preserve">                                                                              пользования местного значения Давыдовского </w:t>
      </w:r>
    </w:p>
    <w:p w:rsidR="00BA36FC" w:rsidRDefault="00BA36FC" w:rsidP="00BA36FC">
      <w:pPr>
        <w:jc w:val="center"/>
      </w:pPr>
      <w:r>
        <w:t xml:space="preserve">                                                                              сельсовета Притобольного района </w:t>
      </w:r>
      <w:proofErr w:type="gramStart"/>
      <w:r>
        <w:t>Курганской</w:t>
      </w:r>
      <w:proofErr w:type="gramEnd"/>
      <w:r>
        <w:t xml:space="preserve">                </w:t>
      </w:r>
    </w:p>
    <w:p w:rsidR="00BA36FC" w:rsidRDefault="00BA36FC" w:rsidP="00BA36FC">
      <w:pPr>
        <w:jc w:val="center"/>
      </w:pPr>
      <w:r>
        <w:t xml:space="preserve">             области»</w:t>
      </w:r>
    </w:p>
    <w:p w:rsidR="00BA36FC" w:rsidRDefault="00BA36FC" w:rsidP="00BA36FC">
      <w:pPr>
        <w:pStyle w:val="a6"/>
        <w:ind w:left="0"/>
        <w:jc w:val="right"/>
      </w:pPr>
    </w:p>
    <w:p w:rsidR="00BA36FC" w:rsidRDefault="00BA36FC" w:rsidP="00BA36FC">
      <w:pPr>
        <w:pStyle w:val="a6"/>
        <w:ind w:left="0"/>
        <w:jc w:val="right"/>
      </w:pPr>
    </w:p>
    <w:p w:rsidR="00BA36FC" w:rsidRDefault="00BA36FC" w:rsidP="00BA36FC">
      <w:pPr>
        <w:pStyle w:val="a6"/>
        <w:ind w:left="0"/>
        <w:jc w:val="right"/>
      </w:pPr>
    </w:p>
    <w:p w:rsidR="00BA36FC" w:rsidRDefault="00BA36FC" w:rsidP="00BA36FC">
      <w:pPr>
        <w:pStyle w:val="a6"/>
      </w:pPr>
    </w:p>
    <w:p w:rsidR="00BA36FC" w:rsidRPr="00EF0422" w:rsidRDefault="00BA36FC" w:rsidP="002C23D8">
      <w:pPr>
        <w:pStyle w:val="a6"/>
        <w:ind w:left="0"/>
        <w:jc w:val="center"/>
      </w:pPr>
      <w:r w:rsidRPr="00EF0422">
        <w:t>Исходное значение размера вреда</w:t>
      </w:r>
      <w:r w:rsidR="002C23D8" w:rsidRPr="00EF0422">
        <w:t xml:space="preserve"> </w:t>
      </w:r>
      <w:r w:rsidRPr="00EF0422">
        <w:t>при превышении допустимых нагрузок на ось транспортного средства</w:t>
      </w:r>
      <w:r w:rsidR="002C23D8" w:rsidRPr="00EF0422">
        <w:t xml:space="preserve"> </w:t>
      </w:r>
      <w:r w:rsidRPr="00EF0422">
        <w:t>и постоянные коэффициенты, используемые при расчете размера вреда,</w:t>
      </w:r>
      <w:r w:rsidR="002C23D8" w:rsidRPr="00EF0422">
        <w:t xml:space="preserve"> </w:t>
      </w:r>
      <w:r w:rsidRPr="00EF0422">
        <w:t>причиняемого тяжеловесными транспортными средствами при движении</w:t>
      </w:r>
      <w:r w:rsidR="002C23D8" w:rsidRPr="00EF0422">
        <w:t xml:space="preserve"> </w:t>
      </w:r>
      <w:r w:rsidRPr="00EF0422">
        <w:t xml:space="preserve">таких транспортных средств по автомобильным дорогам </w:t>
      </w:r>
      <w:r w:rsidR="002C23D8" w:rsidRPr="00EF0422">
        <w:t xml:space="preserve">общего пользования </w:t>
      </w:r>
      <w:r w:rsidRPr="00EF0422">
        <w:t>местного значения</w:t>
      </w:r>
      <w:r w:rsidR="002C23D8" w:rsidRPr="00EF0422">
        <w:t xml:space="preserve"> Давыдовского сельсовета Курганской области Притобольного района</w:t>
      </w:r>
    </w:p>
    <w:p w:rsidR="00BA36FC" w:rsidRDefault="00BA36FC" w:rsidP="00BA36FC">
      <w:pPr>
        <w:pStyle w:val="a6"/>
        <w:ind w:left="0"/>
        <w:jc w:val="right"/>
      </w:pPr>
    </w:p>
    <w:p w:rsidR="00BA36FC" w:rsidRDefault="00BA36FC" w:rsidP="00BA36FC">
      <w:pPr>
        <w:pStyle w:val="a6"/>
        <w:ind w:left="0"/>
        <w:jc w:val="right"/>
      </w:pPr>
    </w:p>
    <w:tbl>
      <w:tblPr>
        <w:tblStyle w:val="af1"/>
        <w:tblW w:w="9493" w:type="dxa"/>
        <w:tblLook w:val="04A0"/>
      </w:tblPr>
      <w:tblGrid>
        <w:gridCol w:w="3397"/>
        <w:gridCol w:w="1985"/>
        <w:gridCol w:w="2059"/>
        <w:gridCol w:w="2052"/>
      </w:tblGrid>
      <w:tr w:rsidR="00BA36FC" w:rsidTr="00AB5897">
        <w:trPr>
          <w:trHeight w:val="515"/>
        </w:trPr>
        <w:tc>
          <w:tcPr>
            <w:tcW w:w="3397" w:type="dxa"/>
            <w:vMerge w:val="restart"/>
          </w:tcPr>
          <w:p w:rsidR="00BA36FC" w:rsidRDefault="00BA36FC" w:rsidP="00AB5897">
            <w:pPr>
              <w:pStyle w:val="a6"/>
              <w:ind w:left="0"/>
              <w:jc w:val="center"/>
            </w:pPr>
            <w:r w:rsidRPr="00334DBE"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334DBE">
              <w:t>т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BA36FC" w:rsidRDefault="00BA36FC" w:rsidP="00AB5897">
            <w:pPr>
              <w:pStyle w:val="a6"/>
              <w:ind w:left="0"/>
              <w:jc w:val="center"/>
            </w:pPr>
            <w:proofErr w:type="spellStart"/>
            <w:r w:rsidRPr="00334DBE">
              <w:t>Р</w:t>
            </w:r>
            <w:r w:rsidRPr="007F441C">
              <w:rPr>
                <w:vertAlign w:val="subscript"/>
              </w:rPr>
              <w:t>исх</w:t>
            </w:r>
            <w:proofErr w:type="gramStart"/>
            <w:r w:rsidRPr="007F441C">
              <w:rPr>
                <w:vertAlign w:val="subscript"/>
              </w:rPr>
              <w:t>.о</w:t>
            </w:r>
            <w:proofErr w:type="gramEnd"/>
            <w:r w:rsidRPr="007F441C">
              <w:rPr>
                <w:vertAlign w:val="subscript"/>
              </w:rPr>
              <w:t>сь</w:t>
            </w:r>
            <w:proofErr w:type="spellEnd"/>
            <w:r w:rsidRPr="00334DBE">
              <w:t>, руб./100 км</w:t>
            </w:r>
          </w:p>
        </w:tc>
        <w:tc>
          <w:tcPr>
            <w:tcW w:w="4111" w:type="dxa"/>
            <w:gridSpan w:val="2"/>
            <w:vAlign w:val="center"/>
          </w:tcPr>
          <w:p w:rsidR="00BA36FC" w:rsidRDefault="00BA36FC" w:rsidP="00AB5897">
            <w:pPr>
              <w:pStyle w:val="a6"/>
              <w:ind w:left="0"/>
              <w:jc w:val="center"/>
            </w:pPr>
            <w:r w:rsidRPr="00334DBE">
              <w:t>Постоянные коэффициенты</w:t>
            </w:r>
          </w:p>
        </w:tc>
      </w:tr>
      <w:tr w:rsidR="00BA36FC" w:rsidTr="00AB5897">
        <w:tc>
          <w:tcPr>
            <w:tcW w:w="3397" w:type="dxa"/>
            <w:vMerge/>
          </w:tcPr>
          <w:p w:rsidR="00BA36FC" w:rsidRDefault="00BA36FC" w:rsidP="00AB5897">
            <w:pPr>
              <w:pStyle w:val="a6"/>
              <w:ind w:left="0"/>
              <w:jc w:val="right"/>
            </w:pPr>
          </w:p>
        </w:tc>
        <w:tc>
          <w:tcPr>
            <w:tcW w:w="1985" w:type="dxa"/>
            <w:vMerge/>
          </w:tcPr>
          <w:p w:rsidR="00BA36FC" w:rsidRDefault="00BA36FC" w:rsidP="00AB5897">
            <w:pPr>
              <w:pStyle w:val="a6"/>
              <w:ind w:left="0"/>
              <w:jc w:val="right"/>
            </w:pPr>
          </w:p>
        </w:tc>
        <w:tc>
          <w:tcPr>
            <w:tcW w:w="2059" w:type="dxa"/>
            <w:vAlign w:val="center"/>
          </w:tcPr>
          <w:p w:rsidR="00BA36FC" w:rsidRPr="007F441C" w:rsidRDefault="00BA36FC" w:rsidP="00AB5897">
            <w:pPr>
              <w:pStyle w:val="a6"/>
              <w:ind w:left="0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2052" w:type="dxa"/>
            <w:vAlign w:val="center"/>
          </w:tcPr>
          <w:p w:rsidR="00BA36FC" w:rsidRPr="007F441C" w:rsidRDefault="00BA36FC" w:rsidP="00AB5897">
            <w:pPr>
              <w:pStyle w:val="a6"/>
              <w:ind w:left="0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BA36FC" w:rsidTr="00AB5897">
        <w:tc>
          <w:tcPr>
            <w:tcW w:w="3397" w:type="dxa"/>
          </w:tcPr>
          <w:p w:rsidR="00BA36FC" w:rsidRDefault="00BA36FC" w:rsidP="00BA36FC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BA36FC" w:rsidRDefault="00BA36FC" w:rsidP="00BA36FC">
            <w:pPr>
              <w:pStyle w:val="a6"/>
              <w:ind w:left="0"/>
              <w:jc w:val="center"/>
            </w:pPr>
            <w:r>
              <w:t>8500</w:t>
            </w:r>
          </w:p>
        </w:tc>
        <w:tc>
          <w:tcPr>
            <w:tcW w:w="2059" w:type="dxa"/>
            <w:vAlign w:val="center"/>
          </w:tcPr>
          <w:p w:rsidR="00BA36FC" w:rsidRPr="00BA36FC" w:rsidRDefault="00BA36FC" w:rsidP="00AB5897">
            <w:pPr>
              <w:pStyle w:val="a6"/>
              <w:ind w:left="0"/>
              <w:jc w:val="center"/>
            </w:pPr>
            <w:r>
              <w:t>7,3</w:t>
            </w:r>
          </w:p>
        </w:tc>
        <w:tc>
          <w:tcPr>
            <w:tcW w:w="2052" w:type="dxa"/>
            <w:vAlign w:val="center"/>
          </w:tcPr>
          <w:p w:rsidR="00BA36FC" w:rsidRPr="00BA36FC" w:rsidRDefault="00BA36FC" w:rsidP="00AB5897">
            <w:pPr>
              <w:pStyle w:val="a6"/>
              <w:ind w:left="0"/>
              <w:jc w:val="center"/>
            </w:pPr>
            <w:r>
              <w:t>0,27</w:t>
            </w:r>
          </w:p>
        </w:tc>
      </w:tr>
      <w:tr w:rsidR="00BA36FC" w:rsidTr="00AB5897">
        <w:tc>
          <w:tcPr>
            <w:tcW w:w="3397" w:type="dxa"/>
          </w:tcPr>
          <w:p w:rsidR="00BA36FC" w:rsidRPr="007F441C" w:rsidRDefault="00BA36FC" w:rsidP="00AB5897">
            <w:pPr>
              <w:pStyle w:val="a6"/>
              <w:tabs>
                <w:tab w:val="center" w:pos="1449"/>
                <w:tab w:val="left" w:pos="2190"/>
              </w:tabs>
              <w:ind w:left="0"/>
              <w:jc w:val="center"/>
            </w:pPr>
            <w:r w:rsidRPr="007F441C">
              <w:t>10</w:t>
            </w:r>
          </w:p>
        </w:tc>
        <w:tc>
          <w:tcPr>
            <w:tcW w:w="1985" w:type="dxa"/>
          </w:tcPr>
          <w:p w:rsidR="00BA36FC" w:rsidRDefault="00BA36FC" w:rsidP="00AB5897">
            <w:pPr>
              <w:pStyle w:val="a6"/>
              <w:ind w:left="0"/>
              <w:jc w:val="center"/>
            </w:pPr>
            <w:r>
              <w:t>1840</w:t>
            </w:r>
          </w:p>
        </w:tc>
        <w:tc>
          <w:tcPr>
            <w:tcW w:w="2059" w:type="dxa"/>
          </w:tcPr>
          <w:p w:rsidR="00BA36FC" w:rsidRDefault="00BA36FC" w:rsidP="00AB5897">
            <w:pPr>
              <w:pStyle w:val="a6"/>
              <w:ind w:left="0"/>
              <w:jc w:val="center"/>
            </w:pPr>
            <w:r>
              <w:t>37,7</w:t>
            </w:r>
          </w:p>
        </w:tc>
        <w:tc>
          <w:tcPr>
            <w:tcW w:w="2052" w:type="dxa"/>
          </w:tcPr>
          <w:p w:rsidR="00BA36FC" w:rsidRDefault="00BA36FC" w:rsidP="00AB5897">
            <w:pPr>
              <w:pStyle w:val="a6"/>
              <w:ind w:left="0"/>
              <w:jc w:val="center"/>
            </w:pPr>
            <w:r>
              <w:t>2,4</w:t>
            </w:r>
          </w:p>
        </w:tc>
      </w:tr>
      <w:tr w:rsidR="00BA36FC" w:rsidTr="00AB5897">
        <w:tc>
          <w:tcPr>
            <w:tcW w:w="3397" w:type="dxa"/>
          </w:tcPr>
          <w:p w:rsidR="00BA36FC" w:rsidRPr="00334DBE" w:rsidRDefault="00BA36FC" w:rsidP="00AB5897">
            <w:pPr>
              <w:pStyle w:val="a6"/>
              <w:ind w:left="0"/>
              <w:jc w:val="center"/>
            </w:pPr>
            <w:r w:rsidRPr="007F441C">
              <w:t>11</w:t>
            </w:r>
            <w:r>
              <w:t>,5</w:t>
            </w:r>
          </w:p>
        </w:tc>
        <w:tc>
          <w:tcPr>
            <w:tcW w:w="1985" w:type="dxa"/>
          </w:tcPr>
          <w:p w:rsidR="00BA36FC" w:rsidRDefault="00BA36FC" w:rsidP="00AB5897">
            <w:pPr>
              <w:pStyle w:val="a6"/>
              <w:ind w:left="0"/>
              <w:jc w:val="center"/>
            </w:pPr>
            <w:r>
              <w:t>840</w:t>
            </w:r>
          </w:p>
        </w:tc>
        <w:tc>
          <w:tcPr>
            <w:tcW w:w="2059" w:type="dxa"/>
          </w:tcPr>
          <w:p w:rsidR="00BA36FC" w:rsidRDefault="00BA36FC" w:rsidP="00AB5897">
            <w:pPr>
              <w:pStyle w:val="a6"/>
              <w:ind w:left="0"/>
              <w:jc w:val="center"/>
            </w:pPr>
            <w:r>
              <w:t>39,5</w:t>
            </w:r>
          </w:p>
        </w:tc>
        <w:tc>
          <w:tcPr>
            <w:tcW w:w="2052" w:type="dxa"/>
          </w:tcPr>
          <w:p w:rsidR="00BA36FC" w:rsidRDefault="00BA36FC" w:rsidP="00AB5897">
            <w:pPr>
              <w:pStyle w:val="a6"/>
              <w:ind w:left="0"/>
              <w:jc w:val="center"/>
            </w:pPr>
            <w:r>
              <w:t>2,7</w:t>
            </w:r>
          </w:p>
        </w:tc>
      </w:tr>
    </w:tbl>
    <w:p w:rsidR="00BA36FC" w:rsidRDefault="00BA36FC" w:rsidP="00BA36FC">
      <w:pPr>
        <w:pStyle w:val="a6"/>
        <w:ind w:left="0"/>
        <w:jc w:val="right"/>
      </w:pPr>
    </w:p>
    <w:p w:rsidR="00BA36FC" w:rsidRDefault="00BA36FC" w:rsidP="00BA36FC">
      <w:pPr>
        <w:pStyle w:val="a6"/>
        <w:ind w:left="0" w:firstLine="709"/>
        <w:jc w:val="both"/>
      </w:pPr>
      <w:r>
        <w:t>где:</w:t>
      </w:r>
    </w:p>
    <w:p w:rsidR="00BA36FC" w:rsidRDefault="00BA36FC" w:rsidP="00BA36FC">
      <w:pPr>
        <w:pStyle w:val="a6"/>
        <w:ind w:left="0" w:firstLine="709"/>
        <w:jc w:val="both"/>
      </w:pPr>
      <w:proofErr w:type="spellStart"/>
      <w:r w:rsidRPr="00334DBE">
        <w:t>Р</w:t>
      </w:r>
      <w:r w:rsidRPr="007F441C">
        <w:rPr>
          <w:vertAlign w:val="subscript"/>
        </w:rPr>
        <w:t>исх</w:t>
      </w:r>
      <w:proofErr w:type="gramStart"/>
      <w:r w:rsidRPr="007F441C">
        <w:rPr>
          <w:vertAlign w:val="subscript"/>
        </w:rPr>
        <w:t>.о</w:t>
      </w:r>
      <w:proofErr w:type="gramEnd"/>
      <w:r w:rsidRPr="007F441C">
        <w:rPr>
          <w:vertAlign w:val="subscript"/>
        </w:rPr>
        <w:t>сь</w:t>
      </w:r>
      <w:proofErr w:type="spellEnd"/>
      <w:r>
        <w:t xml:space="preserve"> - исходное значение размера вреда, причиняемого тяжеловесными транспортными средствами при превышении допустимых нагрузок на ось транспортного средства;</w:t>
      </w:r>
    </w:p>
    <w:p w:rsidR="00BA36FC" w:rsidRPr="00100D79" w:rsidRDefault="00BA36FC" w:rsidP="00BA36FC">
      <w:pPr>
        <w:pStyle w:val="a6"/>
        <w:ind w:left="0" w:firstLine="709"/>
        <w:jc w:val="both"/>
      </w:pPr>
      <w:r>
        <w:t xml:space="preserve">а, </w:t>
      </w:r>
      <w:r>
        <w:rPr>
          <w:lang w:val="en-US"/>
        </w:rPr>
        <w:t>b</w:t>
      </w:r>
      <w:r>
        <w:t>- постоянные коэффициенты.</w:t>
      </w:r>
    </w:p>
    <w:p w:rsidR="00BA36FC" w:rsidRDefault="00BA36FC" w:rsidP="00BA36FC">
      <w:pPr>
        <w:pStyle w:val="a6"/>
        <w:ind w:left="0"/>
      </w:pPr>
    </w:p>
    <w:p w:rsidR="00BA36FC" w:rsidRDefault="00BA36FC" w:rsidP="00BA36FC">
      <w:pPr>
        <w:pStyle w:val="a6"/>
        <w:ind w:left="0"/>
        <w:jc w:val="right"/>
      </w:pPr>
    </w:p>
    <w:p w:rsidR="00BA36FC" w:rsidRDefault="00BA36FC" w:rsidP="00BA36FC">
      <w:pPr>
        <w:pStyle w:val="a6"/>
        <w:ind w:left="0"/>
        <w:jc w:val="right"/>
      </w:pPr>
    </w:p>
    <w:p w:rsidR="00BA36FC" w:rsidRDefault="00BA36FC" w:rsidP="00BA36FC">
      <w:pPr>
        <w:pStyle w:val="a6"/>
        <w:ind w:left="0"/>
        <w:jc w:val="right"/>
      </w:pPr>
    </w:p>
    <w:p w:rsidR="00BA36FC" w:rsidRDefault="00BA36FC" w:rsidP="00BA36FC">
      <w:pPr>
        <w:pStyle w:val="a6"/>
        <w:ind w:left="0"/>
        <w:jc w:val="right"/>
      </w:pPr>
    </w:p>
    <w:p w:rsidR="00BA36FC" w:rsidRDefault="00BA36FC" w:rsidP="00BA36FC">
      <w:pPr>
        <w:pStyle w:val="a6"/>
        <w:ind w:left="0"/>
        <w:jc w:val="right"/>
      </w:pPr>
    </w:p>
    <w:p w:rsidR="00BA36FC" w:rsidRDefault="00BA36FC" w:rsidP="00BA36FC">
      <w:pPr>
        <w:pStyle w:val="a6"/>
        <w:ind w:left="0"/>
        <w:jc w:val="right"/>
      </w:pPr>
    </w:p>
    <w:p w:rsidR="00BA36FC" w:rsidRDefault="00BA36FC" w:rsidP="00BA36FC"/>
    <w:p w:rsidR="00BA36FC" w:rsidRDefault="00BA36FC" w:rsidP="00BA36FC"/>
    <w:p w:rsidR="00BA36FC" w:rsidRDefault="00BA36FC" w:rsidP="00BA36FC"/>
    <w:p w:rsidR="00BA36FC" w:rsidRDefault="00BA36FC" w:rsidP="00BA36FC"/>
    <w:p w:rsidR="00BA36FC" w:rsidRDefault="00BA36FC" w:rsidP="00BA36FC"/>
    <w:p w:rsidR="002200B3" w:rsidRDefault="002200B3" w:rsidP="002200B3">
      <w:pPr>
        <w:pStyle w:val="a6"/>
        <w:ind w:left="0"/>
        <w:jc w:val="center"/>
      </w:pPr>
    </w:p>
    <w:p w:rsidR="000A4CAD" w:rsidRDefault="000A4CAD" w:rsidP="000A4CAD"/>
    <w:p w:rsidR="00F95699" w:rsidRDefault="00F95699" w:rsidP="000A4CAD"/>
    <w:p w:rsidR="00F95699" w:rsidRDefault="00F95699" w:rsidP="000A4CAD"/>
    <w:p w:rsidR="00F95699" w:rsidRDefault="00F95699" w:rsidP="000A4CAD"/>
    <w:p w:rsidR="00CB537B" w:rsidRPr="005122DF" w:rsidRDefault="00CB537B" w:rsidP="003F22DA">
      <w:pPr>
        <w:pStyle w:val="a6"/>
        <w:ind w:left="0"/>
      </w:pPr>
    </w:p>
    <w:sectPr w:rsidR="00CB537B" w:rsidRPr="005122DF" w:rsidSect="002C23D8">
      <w:headerReference w:type="default" r:id="rId13"/>
      <w:pgSz w:w="11906" w:h="16838"/>
      <w:pgMar w:top="0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21" w:rsidRDefault="00114521">
      <w:r>
        <w:separator/>
      </w:r>
    </w:p>
  </w:endnote>
  <w:endnote w:type="continuationSeparator" w:id="0">
    <w:p w:rsidR="00114521" w:rsidRDefault="0011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21" w:rsidRDefault="00114521">
      <w:r>
        <w:separator/>
      </w:r>
    </w:p>
  </w:footnote>
  <w:footnote w:type="continuationSeparator" w:id="0">
    <w:p w:rsidR="00114521" w:rsidRDefault="0011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73" w:rsidRPr="00566EF3" w:rsidRDefault="00315554">
    <w:pPr>
      <w:pStyle w:val="a4"/>
      <w:jc w:val="center"/>
      <w:rPr>
        <w:rFonts w:ascii="Times New Roman" w:hAnsi="Times New Roman"/>
        <w:sz w:val="24"/>
        <w:szCs w:val="24"/>
      </w:rPr>
    </w:pPr>
    <w:r w:rsidRPr="00566EF3">
      <w:rPr>
        <w:rFonts w:ascii="Times New Roman" w:hAnsi="Times New Roman"/>
        <w:sz w:val="24"/>
        <w:szCs w:val="24"/>
      </w:rPr>
      <w:fldChar w:fldCharType="begin"/>
    </w:r>
    <w:r w:rsidR="00390073" w:rsidRPr="00566EF3">
      <w:rPr>
        <w:rFonts w:ascii="Times New Roman" w:hAnsi="Times New Roman"/>
        <w:sz w:val="24"/>
        <w:szCs w:val="24"/>
      </w:rPr>
      <w:instrText>PAGE   \* MERGEFORMAT</w:instrText>
    </w:r>
    <w:r w:rsidRPr="00566EF3">
      <w:rPr>
        <w:rFonts w:ascii="Times New Roman" w:hAnsi="Times New Roman"/>
        <w:sz w:val="24"/>
        <w:szCs w:val="24"/>
      </w:rPr>
      <w:fldChar w:fldCharType="separate"/>
    </w:r>
    <w:r w:rsidR="001C5859">
      <w:rPr>
        <w:rFonts w:ascii="Times New Roman" w:hAnsi="Times New Roman"/>
        <w:noProof/>
        <w:sz w:val="24"/>
        <w:szCs w:val="24"/>
      </w:rPr>
      <w:t>2</w:t>
    </w:r>
    <w:r w:rsidRPr="00566EF3">
      <w:rPr>
        <w:rFonts w:ascii="Times New Roman" w:hAnsi="Times New Roman"/>
        <w:sz w:val="24"/>
        <w:szCs w:val="24"/>
      </w:rPr>
      <w:fldChar w:fldCharType="end"/>
    </w:r>
  </w:p>
  <w:p w:rsidR="00390073" w:rsidRDefault="003900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140"/>
    <w:multiLevelType w:val="hybridMultilevel"/>
    <w:tmpl w:val="26969D24"/>
    <w:lvl w:ilvl="0" w:tplc="9D569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A1ED1"/>
    <w:multiLevelType w:val="multilevel"/>
    <w:tmpl w:val="234C61B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361328C3"/>
    <w:multiLevelType w:val="hybridMultilevel"/>
    <w:tmpl w:val="43A0B984"/>
    <w:lvl w:ilvl="0" w:tplc="34063DC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C664750"/>
    <w:multiLevelType w:val="hybridMultilevel"/>
    <w:tmpl w:val="BC106A2A"/>
    <w:lvl w:ilvl="0" w:tplc="03A67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025661"/>
    <w:multiLevelType w:val="hybridMultilevel"/>
    <w:tmpl w:val="8594F36C"/>
    <w:lvl w:ilvl="0" w:tplc="F2FC74AC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DB22EF"/>
    <w:multiLevelType w:val="hybridMultilevel"/>
    <w:tmpl w:val="276E2010"/>
    <w:lvl w:ilvl="0" w:tplc="A06CC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E1F"/>
    <w:rsid w:val="000438C0"/>
    <w:rsid w:val="00051DA3"/>
    <w:rsid w:val="00064346"/>
    <w:rsid w:val="000A2DEE"/>
    <w:rsid w:val="000A4CAD"/>
    <w:rsid w:val="000A6620"/>
    <w:rsid w:val="000A6A55"/>
    <w:rsid w:val="000A6AD3"/>
    <w:rsid w:val="000D3415"/>
    <w:rsid w:val="000D4322"/>
    <w:rsid w:val="000E353A"/>
    <w:rsid w:val="00100D79"/>
    <w:rsid w:val="001077D8"/>
    <w:rsid w:val="00114521"/>
    <w:rsid w:val="00125E81"/>
    <w:rsid w:val="001263B8"/>
    <w:rsid w:val="00130F5F"/>
    <w:rsid w:val="00141686"/>
    <w:rsid w:val="00164532"/>
    <w:rsid w:val="001740FF"/>
    <w:rsid w:val="001A2E65"/>
    <w:rsid w:val="001B4BC8"/>
    <w:rsid w:val="001C2AAE"/>
    <w:rsid w:val="001C2BBB"/>
    <w:rsid w:val="001C5859"/>
    <w:rsid w:val="002002E2"/>
    <w:rsid w:val="00200BF5"/>
    <w:rsid w:val="00205FCC"/>
    <w:rsid w:val="002200B3"/>
    <w:rsid w:val="0022264F"/>
    <w:rsid w:val="00226272"/>
    <w:rsid w:val="00233A62"/>
    <w:rsid w:val="002545AD"/>
    <w:rsid w:val="00283241"/>
    <w:rsid w:val="002955F4"/>
    <w:rsid w:val="0029600C"/>
    <w:rsid w:val="00297041"/>
    <w:rsid w:val="002A6A62"/>
    <w:rsid w:val="002B1DFA"/>
    <w:rsid w:val="002C23D8"/>
    <w:rsid w:val="002C3D85"/>
    <w:rsid w:val="002D2BF2"/>
    <w:rsid w:val="002E37BE"/>
    <w:rsid w:val="002F34E6"/>
    <w:rsid w:val="00305EB9"/>
    <w:rsid w:val="0030765C"/>
    <w:rsid w:val="00315554"/>
    <w:rsid w:val="00317731"/>
    <w:rsid w:val="00334DBE"/>
    <w:rsid w:val="003558AB"/>
    <w:rsid w:val="003721F2"/>
    <w:rsid w:val="00373C54"/>
    <w:rsid w:val="0037600D"/>
    <w:rsid w:val="00377C48"/>
    <w:rsid w:val="0038695D"/>
    <w:rsid w:val="00390073"/>
    <w:rsid w:val="003C4D9C"/>
    <w:rsid w:val="003D3A55"/>
    <w:rsid w:val="003E4E94"/>
    <w:rsid w:val="003F06B7"/>
    <w:rsid w:val="003F22DA"/>
    <w:rsid w:val="00416083"/>
    <w:rsid w:val="004203C2"/>
    <w:rsid w:val="00420A81"/>
    <w:rsid w:val="00437503"/>
    <w:rsid w:val="004571D8"/>
    <w:rsid w:val="004577FB"/>
    <w:rsid w:val="004618F3"/>
    <w:rsid w:val="00473577"/>
    <w:rsid w:val="0048297D"/>
    <w:rsid w:val="00483CE4"/>
    <w:rsid w:val="00486620"/>
    <w:rsid w:val="0048739E"/>
    <w:rsid w:val="00496AC5"/>
    <w:rsid w:val="004C2360"/>
    <w:rsid w:val="004D70FC"/>
    <w:rsid w:val="004F5A05"/>
    <w:rsid w:val="00503CE8"/>
    <w:rsid w:val="005122DF"/>
    <w:rsid w:val="005211DD"/>
    <w:rsid w:val="00542E1F"/>
    <w:rsid w:val="00544C5C"/>
    <w:rsid w:val="00546E3C"/>
    <w:rsid w:val="00565F3F"/>
    <w:rsid w:val="005700C5"/>
    <w:rsid w:val="00583476"/>
    <w:rsid w:val="005A4138"/>
    <w:rsid w:val="005C4C4C"/>
    <w:rsid w:val="005C66F3"/>
    <w:rsid w:val="005E3798"/>
    <w:rsid w:val="00604318"/>
    <w:rsid w:val="0060467A"/>
    <w:rsid w:val="006145AE"/>
    <w:rsid w:val="00616C9C"/>
    <w:rsid w:val="0062363C"/>
    <w:rsid w:val="00640F07"/>
    <w:rsid w:val="006441D7"/>
    <w:rsid w:val="00663A9F"/>
    <w:rsid w:val="00677A2D"/>
    <w:rsid w:val="00686EE9"/>
    <w:rsid w:val="006A2427"/>
    <w:rsid w:val="006A2F69"/>
    <w:rsid w:val="006C43E1"/>
    <w:rsid w:val="006C7363"/>
    <w:rsid w:val="006F1640"/>
    <w:rsid w:val="00721F99"/>
    <w:rsid w:val="00722AA2"/>
    <w:rsid w:val="00726F05"/>
    <w:rsid w:val="00755B83"/>
    <w:rsid w:val="0077486A"/>
    <w:rsid w:val="0079270B"/>
    <w:rsid w:val="00796439"/>
    <w:rsid w:val="007B7B19"/>
    <w:rsid w:val="007C5F93"/>
    <w:rsid w:val="007D0BE8"/>
    <w:rsid w:val="007D36E7"/>
    <w:rsid w:val="007E6D38"/>
    <w:rsid w:val="007E7B1A"/>
    <w:rsid w:val="007F3B03"/>
    <w:rsid w:val="007F441C"/>
    <w:rsid w:val="007F77B2"/>
    <w:rsid w:val="00834A2E"/>
    <w:rsid w:val="0083588E"/>
    <w:rsid w:val="00836910"/>
    <w:rsid w:val="00837384"/>
    <w:rsid w:val="00845554"/>
    <w:rsid w:val="00877648"/>
    <w:rsid w:val="00886C3A"/>
    <w:rsid w:val="008B603D"/>
    <w:rsid w:val="008C38E1"/>
    <w:rsid w:val="008C5442"/>
    <w:rsid w:val="008C700E"/>
    <w:rsid w:val="008D1841"/>
    <w:rsid w:val="008D6284"/>
    <w:rsid w:val="008F43EE"/>
    <w:rsid w:val="009073D6"/>
    <w:rsid w:val="00952FFB"/>
    <w:rsid w:val="009623CE"/>
    <w:rsid w:val="009708A5"/>
    <w:rsid w:val="00972DC8"/>
    <w:rsid w:val="0097481C"/>
    <w:rsid w:val="00976D9A"/>
    <w:rsid w:val="00985123"/>
    <w:rsid w:val="009A2C43"/>
    <w:rsid w:val="009A7214"/>
    <w:rsid w:val="009B77FC"/>
    <w:rsid w:val="009D1CFE"/>
    <w:rsid w:val="009D4A8B"/>
    <w:rsid w:val="00A05915"/>
    <w:rsid w:val="00A30A8B"/>
    <w:rsid w:val="00A50ECA"/>
    <w:rsid w:val="00A763AC"/>
    <w:rsid w:val="00A86875"/>
    <w:rsid w:val="00A95D69"/>
    <w:rsid w:val="00AB0AF0"/>
    <w:rsid w:val="00AB388F"/>
    <w:rsid w:val="00AB4E04"/>
    <w:rsid w:val="00AB5897"/>
    <w:rsid w:val="00AC4EFF"/>
    <w:rsid w:val="00AC6877"/>
    <w:rsid w:val="00AD14D2"/>
    <w:rsid w:val="00AE29AA"/>
    <w:rsid w:val="00AE3742"/>
    <w:rsid w:val="00AE502B"/>
    <w:rsid w:val="00AE6ABD"/>
    <w:rsid w:val="00AF549D"/>
    <w:rsid w:val="00B07E14"/>
    <w:rsid w:val="00B205B0"/>
    <w:rsid w:val="00B417B5"/>
    <w:rsid w:val="00B512A9"/>
    <w:rsid w:val="00B63CA8"/>
    <w:rsid w:val="00B75CDA"/>
    <w:rsid w:val="00B7725B"/>
    <w:rsid w:val="00B8536C"/>
    <w:rsid w:val="00BA36FC"/>
    <w:rsid w:val="00BB2684"/>
    <w:rsid w:val="00BB44F7"/>
    <w:rsid w:val="00BC1D44"/>
    <w:rsid w:val="00BD295B"/>
    <w:rsid w:val="00BE5FAF"/>
    <w:rsid w:val="00BF25F5"/>
    <w:rsid w:val="00C122E3"/>
    <w:rsid w:val="00C34495"/>
    <w:rsid w:val="00C417D4"/>
    <w:rsid w:val="00C5006F"/>
    <w:rsid w:val="00C528BB"/>
    <w:rsid w:val="00C54213"/>
    <w:rsid w:val="00C71617"/>
    <w:rsid w:val="00C71660"/>
    <w:rsid w:val="00C752AB"/>
    <w:rsid w:val="00C83B0E"/>
    <w:rsid w:val="00C85BF5"/>
    <w:rsid w:val="00CA1B1F"/>
    <w:rsid w:val="00CA2C67"/>
    <w:rsid w:val="00CA4D35"/>
    <w:rsid w:val="00CA6E12"/>
    <w:rsid w:val="00CB4FC5"/>
    <w:rsid w:val="00CB537B"/>
    <w:rsid w:val="00CC383B"/>
    <w:rsid w:val="00CD3E2D"/>
    <w:rsid w:val="00CF1DE6"/>
    <w:rsid w:val="00CF4E6A"/>
    <w:rsid w:val="00D0350E"/>
    <w:rsid w:val="00D37F19"/>
    <w:rsid w:val="00D562CD"/>
    <w:rsid w:val="00D64387"/>
    <w:rsid w:val="00D913D0"/>
    <w:rsid w:val="00D9201E"/>
    <w:rsid w:val="00DB6C51"/>
    <w:rsid w:val="00E15738"/>
    <w:rsid w:val="00E20245"/>
    <w:rsid w:val="00E30530"/>
    <w:rsid w:val="00E329AA"/>
    <w:rsid w:val="00E40D96"/>
    <w:rsid w:val="00E54355"/>
    <w:rsid w:val="00E54AC1"/>
    <w:rsid w:val="00E65D73"/>
    <w:rsid w:val="00E678C9"/>
    <w:rsid w:val="00E75B39"/>
    <w:rsid w:val="00E8661E"/>
    <w:rsid w:val="00E96737"/>
    <w:rsid w:val="00EB208F"/>
    <w:rsid w:val="00EE120B"/>
    <w:rsid w:val="00EE384B"/>
    <w:rsid w:val="00EF0422"/>
    <w:rsid w:val="00EF380D"/>
    <w:rsid w:val="00EF3B69"/>
    <w:rsid w:val="00F12E04"/>
    <w:rsid w:val="00F23FF4"/>
    <w:rsid w:val="00F6126E"/>
    <w:rsid w:val="00F80B9B"/>
    <w:rsid w:val="00F951A4"/>
    <w:rsid w:val="00F95699"/>
    <w:rsid w:val="00F95BC5"/>
    <w:rsid w:val="00F96006"/>
    <w:rsid w:val="00FA0A73"/>
    <w:rsid w:val="00FA7A47"/>
    <w:rsid w:val="00FB2556"/>
    <w:rsid w:val="00FC74CA"/>
    <w:rsid w:val="00FE3D08"/>
    <w:rsid w:val="00FE5E91"/>
    <w:rsid w:val="00FF587E"/>
    <w:rsid w:val="00F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4E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C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F4E6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4E6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F4E6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17731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E678C9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1C2AA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9">
    <w:name w:val="Цветовое выделение"/>
    <w:uiPriority w:val="99"/>
    <w:rsid w:val="00FF5B3C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FF5B3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2200B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2200B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Hyperlink"/>
    <w:basedOn w:val="a0"/>
    <w:uiPriority w:val="99"/>
    <w:unhideWhenUsed/>
    <w:rsid w:val="00AB388F"/>
    <w:rPr>
      <w:color w:val="0000FF"/>
      <w:u w:val="single"/>
    </w:rPr>
  </w:style>
  <w:style w:type="paragraph" w:customStyle="1" w:styleId="ConsPlusTitle">
    <w:name w:val="ConsPlusTitle"/>
    <w:rsid w:val="00D64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2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C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A2C43"/>
  </w:style>
  <w:style w:type="character" w:customStyle="1" w:styleId="nobr">
    <w:name w:val="nobr"/>
    <w:basedOn w:val="a0"/>
    <w:rsid w:val="00C528BB"/>
  </w:style>
  <w:style w:type="character" w:styleId="ae">
    <w:name w:val="Emphasis"/>
    <w:basedOn w:val="a0"/>
    <w:uiPriority w:val="20"/>
    <w:qFormat/>
    <w:rsid w:val="008F43E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4866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866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C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f1">
    <w:name w:val="Table Grid"/>
    <w:basedOn w:val="a1"/>
    <w:uiPriority w:val="39"/>
    <w:rsid w:val="0033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D3A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2">
    <w:name w:val="Body Text"/>
    <w:basedOn w:val="a"/>
    <w:link w:val="af3"/>
    <w:semiHidden/>
    <w:unhideWhenUsed/>
    <w:rsid w:val="003D3A55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semiHidden/>
    <w:rsid w:val="003D3A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3495159/110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3495159/1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urmakaEA\Downloads\&#1055;&#1086;&#1089;&#1090;&#1072;&#1085;&#1086;&#1074;&#1083;&#1077;&#1085;&#1080;&#1077;%20&#1055;&#1088;&#1072;&#1074;&#1080;&#1090;&#1077;&#1083;&#1100;&#1089;&#1090;&#1074;&#1072;%20&#1056;&#1060;%20&#1086;&#1090;%2031%20&#1103;&#1085;&#1074;&#1072;&#1088;&#1103;%202020%20&#1075;%20N%2067%20&#1054;&#1073;%20&#1091;&#1090;&#1074;&#1077;&#1088;&#1078;&#1076;&#1077;&#1085;&#1080;&#1080;%20&#1055;&#1088;&#1072;&#1074;&#1080;&#1083;%20&#1074;&#1086;%20(1)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3495159/1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3495159/1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4541-F04A-40CF-9B23-45CAA3D3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Бурмака Екатерина Александровна</dc:creator>
  <cp:keywords/>
  <dc:description/>
  <cp:lastModifiedBy>User</cp:lastModifiedBy>
  <cp:revision>83</cp:revision>
  <cp:lastPrinted>2021-08-16T03:40:00Z</cp:lastPrinted>
  <dcterms:created xsi:type="dcterms:W3CDTF">2021-03-15T11:09:00Z</dcterms:created>
  <dcterms:modified xsi:type="dcterms:W3CDTF">2021-08-16T03:41:00Z</dcterms:modified>
</cp:coreProperties>
</file>